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55DD0" w14:textId="77777777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Marca de faturamento de 1 bilhão de euros ultrapassada novamente</w:t>
      </w:r>
    </w:p>
    <w:p w14:paraId="7C9CCC73" w14:textId="30C3B409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 Hettich continua crescendo em 2019</w:t>
      </w:r>
    </w:p>
    <w:p w14:paraId="265C5A74" w14:textId="77777777" w:rsidR="0043395B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de-DE"/>
        </w:rPr>
      </w:pPr>
    </w:p>
    <w:p w14:paraId="63A29657" w14:textId="679E3F34" w:rsidR="0043395B" w:rsidRPr="00F34E48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O grupo empresarial Hettich, um dos principais fabricantes de ferragens para móveis no mundo com sede em Kirchlengern, faturou no ano fiscal de 2019 1,1 bilhões de euros.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Isso corresponde a um aumento de vendas de 3,2% em relação ao ano de 2018.</w:t>
      </w:r>
    </w:p>
    <w:p w14:paraId="6F6E6231" w14:textId="77777777" w:rsidR="0043395B" w:rsidRPr="00BE62F5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78B9E2CA" w14:textId="35EB81C4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</w:rPr>
      </w:pPr>
      <w:r>
        <w:rPr>
          <w:rFonts w:ascii="Arial" w:hAnsi="Arial" w:cs="Arial"/>
        </w:rPr>
        <w:t xml:space="preserve">O percentual do exterior </w:t>
      </w:r>
      <w:r>
        <w:rPr>
          <w:rFonts w:ascii="Arial" w:hAnsi="Arial" w:cs="Arial"/>
          <w:color w:val="auto"/>
        </w:rPr>
        <w:t xml:space="preserve">foi de 72%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ano de 2019, foram investidos novamente mais de </w:t>
      </w:r>
      <w:r>
        <w:rPr>
          <w:rFonts w:ascii="Arial" w:hAnsi="Arial" w:cs="Arial"/>
          <w:color w:val="auto"/>
        </w:rPr>
        <w:t xml:space="preserve">100 milhões</w:t>
      </w:r>
      <w:r>
        <w:rPr>
          <w:rFonts w:ascii="Arial" w:hAnsi="Arial" w:cs="Arial"/>
        </w:rPr>
        <w:t xml:space="preserve"> de euros no mundo todo.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 quantidade de funcionários contratados pela Hettich mundialmente ficou em uma média anual de 6.700 funcionários, sendo mais </w:t>
      </w:r>
      <w:r>
        <w:rPr>
          <w:rFonts w:ascii="Arial" w:hAnsi="Arial" w:cs="Arial"/>
        </w:rPr>
        <w:t xml:space="preserve">de 3.600</w:t>
      </w:r>
      <w:r>
        <w:rPr>
          <w:rFonts w:ascii="Arial" w:hAnsi="Arial" w:cs="Arial"/>
          <w:noProof/>
        </w:rPr>
        <w:t xml:space="preserve"> na </w:t>
      </w:r>
      <w:r>
        <w:rPr>
          <w:rFonts w:ascii="Arial" w:hAnsi="Arial" w:cs="Arial"/>
        </w:rPr>
        <w:t xml:space="preserve">Alemanha.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3BD96AAD" w14:textId="34271A09" w:rsidR="00B77327" w:rsidRPr="00BD7BEC" w:rsidRDefault="0043395B" w:rsidP="0043395B">
      <w:pPr>
        <w:spacing w:line="360" w:lineRule="auto"/>
        <w:rPr>
          <w:rFonts w:cs="Arial"/>
          <w:color w:val="auto"/>
        </w:rPr>
      </w:pPr>
      <w:r>
        <w:rPr>
          <w:rFonts w:ascii="Arial" w:hAnsi="Arial" w:cs="Arial"/>
        </w:rPr>
        <w:t xml:space="preserve">O aumento de vendas atingido novamente tem um grande valor, em vista do desenvolvimento econômico heterogêneo nos mercados mundiais.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"Mais uma vez a nossa equipe dedicada ultrapassou a marca de um bilhão em vendas em cooperação com nossos clientes e fornecedores.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Este novo aumento de vendas no ano de 2019 foi possível porque nós atendemos às necessidades de diferentes mercados de forma muito consistente, e porque a equipe Hettich trabalha em conjunto em todo o mundo", diz </w:t>
      </w:r>
      <w:r>
        <w:rPr>
          <w:rFonts w:ascii="Arial" w:hAnsi="Arial" w:cs="Arial"/>
          <w:color w:val="auto"/>
        </w:rPr>
        <w:t xml:space="preserve">Sascha Groß, Diretor Administrativo da Hettich Holding.</w:t>
      </w:r>
    </w:p>
    <w:p w14:paraId="12752CEB" w14:textId="77777777" w:rsidR="00251814" w:rsidRPr="003F35BC" w:rsidRDefault="00251814" w:rsidP="0043395B">
      <w:pPr>
        <w:spacing w:line="360" w:lineRule="auto"/>
        <w:jc w:val="both"/>
        <w:rPr>
          <w:rFonts w:cs="Arial"/>
          <w:szCs w:val="24"/>
        </w:rPr>
      </w:pPr>
      <w:r>
        <w:rPr>
          <w:rFonts w:ascii="Arial" w:hAnsi="Arial" w:cs="Arial"/>
          <w:szCs w:val="24"/>
        </w:rPr>
        <w:t xml:space="preserve">Os efeitos da pandemia do coronavírus terão um impacto significativo nos negócios em 2020.</w:t>
      </w:r>
    </w:p>
    <w:p w14:paraId="5C320454" w14:textId="77777777" w:rsidR="0043395B" w:rsidRDefault="0043395B" w:rsidP="0043395B">
      <w:pPr>
        <w:spacing w:line="360" w:lineRule="auto"/>
        <w:jc w:val="both"/>
        <w:rPr>
          <w:rFonts w:cs="Arial"/>
        </w:rPr>
      </w:pPr>
    </w:p>
    <w:p w14:paraId="381C764C" w14:textId="74C5758A" w:rsidR="00892076" w:rsidRPr="00892076" w:rsidRDefault="00892076" w:rsidP="0043395B">
      <w:pPr>
        <w:spacing w:line="360" w:lineRule="auto"/>
        <w:jc w:val="both"/>
        <w:rPr>
          <w:rFonts w:cs="Arial"/>
          <w:b/>
        </w:rPr>
      </w:pPr>
      <w:r>
        <w:rPr>
          <w:rFonts w:ascii="Arial" w:hAnsi="Arial" w:cs="Arial"/>
          <w:b/>
        </w:rPr>
        <w:t xml:space="preserve">Inovações de produtos como impulsionadores</w:t>
      </w:r>
    </w:p>
    <w:p w14:paraId="0F577A02" w14:textId="532049BD" w:rsidR="0043395B" w:rsidRDefault="00265ED0" w:rsidP="0043395B">
      <w:pPr>
        <w:spacing w:line="360" w:lineRule="auto"/>
        <w:rPr>
          <w:rFonts w:cs="Arial"/>
          <w:color w:val="auto"/>
          <w:szCs w:val="24"/>
        </w:rPr>
      </w:pPr>
      <w:r>
        <w:rPr>
          <w:rFonts w:ascii="Arial" w:hAnsi="Arial" w:cs="Arial"/>
        </w:rPr>
        <w:t xml:space="preserve">Com suas inovações, a Hettich sempre é capaz de impulsionar o setor de maneira significativa.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este ano, os desenvolvimentos atuais de produtos em </w:t>
      </w:r>
      <w:r>
        <w:rPr>
          <w:rFonts w:ascii="Arial" w:hAnsi="Arial" w:cs="Arial"/>
          <w:color w:val="auto"/>
          <w:szCs w:val="24"/>
        </w:rPr>
        <w:t xml:space="preserve">sistemas de gavetas e portas de correr prometem movimentar mais uma vez o mercado: na primavera será iniciada a comercialização da inovadora plataforma de sistemas de gavetas </w:t>
      </w:r>
      <w:r>
        <w:rPr>
          <w:rFonts w:ascii="Arial" w:hAnsi="Arial" w:cs="Arial"/>
          <w:b/>
          <w:color w:val="auto"/>
          <w:szCs w:val="24"/>
        </w:rPr>
        <w:t xml:space="preserve">AvanTech YOU</w:t>
      </w:r>
      <w:r>
        <w:rPr>
          <w:rFonts w:ascii="Arial" w:hAnsi="Arial" w:cs="Arial"/>
          <w:color w:val="auto"/>
          <w:szCs w:val="24"/>
        </w:rPr>
        <w:t xml:space="preserve">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Ela permite uma configuração individual das gavetas e impressiona com um design incrivelmente enxuto e purista, executado sem deixar visíveis cabeças de parafusos e precisar de tampas.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Graças ao princípio de plataforma, o produto pode ser facilmente adaptado às exigências individuais do consumidor em cores, formatos e materiais.</w:t>
      </w:r>
      <w:r>
        <w:rPr>
          <w:rFonts w:ascii="Arial" w:hAnsi="Arial" w:cs="Arial"/>
          <w:szCs w:val="24"/>
        </w:rPr>
        <w:t xml:space="preserve"> </w:t>
      </w:r>
    </w:p>
    <w:p w14:paraId="29F05666" w14:textId="77777777" w:rsidR="0043395B" w:rsidRDefault="0043395B" w:rsidP="0043395B">
      <w:pPr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042F5F53" w14:textId="77777777" w:rsidR="0043395B" w:rsidRDefault="0043395B" w:rsidP="0043395B">
      <w:pPr>
        <w:spacing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</w:rPr>
        <w:t xml:space="preserve">"Desfrutar do conforto" é o lema do sistema para portas de correr </w:t>
      </w:r>
      <w:r>
        <w:rPr>
          <w:rFonts w:ascii="Arial" w:hAnsi="Arial" w:cs="Arial"/>
          <w:b/>
          <w:szCs w:val="24"/>
        </w:rPr>
        <w:t xml:space="preserve">TopLine XL</w:t>
      </w:r>
      <w:r>
        <w:rPr>
          <w:rFonts w:ascii="Arial" w:hAnsi="Arial" w:cs="Arial"/>
          <w:szCs w:val="24"/>
        </w:rPr>
        <w:t xml:space="preserve">, especialmente desenvolvido para frentes grandes e pesadas.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experiência do conforto começa logo com a montagem fácil: até mesmo as portas grandes podem ser colocadas com segurança, encaixadas rapidamente e ajustadas com facilidade.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Para o usuário, para além da configuração generosa do armário, é o prazer do deslizar que está em primeiro lugar: com o TopLine XL, portas de até 100 kg deslizam com facilidade e suavidade inigualáveis.</w:t>
      </w:r>
      <w:r>
        <w:rPr>
          <w:rFonts w:ascii="Arial" w:hAnsi="Arial" w:cs="Arial"/>
          <w:szCs w:val="24"/>
        </w:rPr>
        <w:br/>
      </w:r>
    </w:p>
    <w:p w14:paraId="51A501F8" w14:textId="1F8FA6E0" w:rsidR="0043395B" w:rsidRDefault="0043395B" w:rsidP="0088402B">
      <w:pPr>
        <w:spacing w:line="360" w:lineRule="auto"/>
        <w:rPr>
          <w:rFonts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 oferta digital expandida também chama a atenção:</w:t>
      </w:r>
      <w:r>
        <w:t xml:space="preserve"> a Hettich ampliou visivelmente seus </w:t>
      </w:r>
      <w:r>
        <w:rPr>
          <w:b/>
        </w:rPr>
        <w:t xml:space="preserve">E-Services</w:t>
      </w:r>
      <w:r>
        <w:t xml:space="preserve"> e acompanha agora seus parceiros de maneira ainda mais eficiente, desde a primeira ideia, a aquisição do produto e o planejamento, até a montagem dos móveis. Os códigos QR presentes no novo Catálogo de tecnologia e aplicações podem ser usados para acessar diretamente os E-Services apropriados no site da Hettich.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No futuro, o cliente também poderá encontrar todos os produtos e fontes de informação úteis na nova "Hettich eShop", que – é claro – também estará disponível no celular.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Assim, comércio e marcenaria poderão trabalhar de maneira ainda mais rápida e eficiente com a ajuda das modernas ferramentas online.</w:t>
      </w:r>
    </w:p>
    <w:p w14:paraId="6884AF1B" w14:textId="77777777" w:rsidR="0088402B" w:rsidRPr="0088402B" w:rsidRDefault="0088402B" w:rsidP="0088402B">
      <w:pPr>
        <w:spacing w:line="360" w:lineRule="auto"/>
        <w:rPr>
          <w:rFonts w:cs="Arial"/>
          <w:color w:val="auto"/>
          <w:szCs w:val="24"/>
        </w:rPr>
      </w:pPr>
    </w:p>
    <w:p w14:paraId="18A357FA" w14:textId="0C4C3793" w:rsidR="0043395B" w:rsidRPr="00BE033C" w:rsidRDefault="0043395B" w:rsidP="0043395B">
      <w:pPr>
        <w:spacing w:line="360" w:lineRule="auto"/>
        <w:rPr>
          <w:rFonts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Investimentos</w:t>
      </w:r>
    </w:p>
    <w:p w14:paraId="47F09BCE" w14:textId="18B9C9A1" w:rsidR="0043395B" w:rsidRPr="00877DD9" w:rsidRDefault="00554307" w:rsidP="00824848">
      <w:pPr>
        <w:spacing w:line="360" w:lineRule="auto"/>
        <w:rPr>
          <w:rFonts w:cs="Arial"/>
          <w:i/>
          <w:color w:val="auto"/>
        </w:rPr>
      </w:pPr>
      <w:r>
        <w:rPr>
          <w:rFonts w:ascii="Arial" w:hAnsi="Arial" w:cs="Arial"/>
          <w:color w:val="auto"/>
        </w:rPr>
        <w:t xml:space="preserve">Em 2019, o Grupo Hettich investiu novamente cerca de 10% do seu faturamento anual para o futuro.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Os principais focos do investimento foram, por ex., a plataforma inovadora de gavetas AvanTech YOU e a expansão das capacidades de produção no âmbito dos e para os mercados asiáticos em crescimento – uma nova unidade de produção com uma área de 28.000 m² foi recentemente inaugurada na Índia, em Indore.</w:t>
      </w:r>
      <w:r>
        <w:rPr>
          <w:rFonts w:ascii="Arial" w:hAnsi="Arial" w:cs="Arial"/>
          <w:color w:val="auto"/>
        </w:rPr>
        <w:t xml:space="preserve"> </w:t>
      </w:r>
    </w:p>
    <w:p w14:paraId="749612B0" w14:textId="77777777" w:rsidR="0043395B" w:rsidRDefault="0043395B" w:rsidP="009A58F6">
      <w:pPr>
        <w:spacing w:line="360" w:lineRule="auto"/>
        <w:rPr>
          <w:rFonts w:cs="Arial"/>
        </w:rPr>
      </w:pPr>
    </w:p>
    <w:p w14:paraId="46CBEA53" w14:textId="2A78E388" w:rsidR="00A2182F" w:rsidRPr="00A2182F" w:rsidRDefault="00A2182F" w:rsidP="009A58F6">
      <w:pPr>
        <w:spacing w:line="36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Negócios sustentáveis </w:t>
      </w:r>
    </w:p>
    <w:p w14:paraId="314599D7" w14:textId="4DDB6687" w:rsidR="00F83BA4" w:rsidRDefault="00535067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  <w:r>
        <w:rPr>
          <w:rFonts w:ascii="Arial" w:hAnsi="Arial" w:cs="Arial"/>
        </w:rPr>
        <w:t xml:space="preserve">A sustentabilidade e a responsabilidade social sempre fizeram</w:t>
      </w:r>
      <w:r>
        <w:rPr>
          <w:rFonts w:ascii="Arial" w:hAnsi="Arial" w:cs="Arial"/>
          <w:color w:val="auto"/>
          <w:szCs w:val="24"/>
        </w:rPr>
        <w:t xml:space="preserve"> parte da filosofia empresarial da Hettich; tradicionalmente, estes princípios também estão incorporados na cooperação com os clientes.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Isto abrange os negócios sustentáveis praticados enquanto empresa familiar de quarta geração, a eficiência energética e de recursos na produção, e ainda a reciclabilidade das embalagens de transporte.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A Hettich está comprometida com as altas exigências do regulamento EMAS desde 1997.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Em 2019, a unidade de Kirchlengern/Bünde foi novamente aprovada com êxito na auditoria externa do EMAS e o selo de aprovação da </w:t>
      </w:r>
      <w:r>
        <w:rPr>
          <w:rFonts w:ascii="Arial" w:hAnsi="Arial" w:cs="Arial"/>
          <w:szCs w:val="24"/>
        </w:rPr>
        <w:t xml:space="preserve">gestão ambiental da UE foi renovado em conformidade.</w:t>
      </w:r>
    </w:p>
    <w:p w14:paraId="74F927D3" w14:textId="77777777" w:rsidR="009240CE" w:rsidRDefault="009240CE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</w:p>
    <w:p w14:paraId="52974AE4" w14:textId="77777777" w:rsidR="00A2182F" w:rsidRPr="00193FCB" w:rsidRDefault="00A2182F" w:rsidP="0043395B">
      <w:pPr>
        <w:spacing w:line="360" w:lineRule="auto"/>
        <w:rPr>
          <w:rFonts w:cs="Arial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ascii="Arial" w:hAnsi="Arial" w:cs="Arial"/>
          <w:color w:val="auto"/>
          <w:szCs w:val="24"/>
        </w:rPr>
        <w:t xml:space="preserve">As seguintes fotos podem ser baixadas no site </w:t>
      </w:r>
      <w:r>
        <w:rPr>
          <w:rFonts w:ascii="Arial" w:hAnsi="Arial" w:cs="Arial"/>
          <w:b/>
          <w:color w:val="auto"/>
          <w:szCs w:val="24"/>
        </w:rPr>
        <w:t xml:space="preserve">www.hettich.com, Menu: Imprensa</w:t>
      </w:r>
      <w:r>
        <w:rPr>
          <w:rFonts w:ascii="Arial" w:hAnsi="Arial" w:cs="Arial"/>
          <w:color w:val="auto"/>
          <w:szCs w:val="24"/>
        </w:rPr>
        <w:t xml:space="preserve">:</w:t>
      </w:r>
    </w:p>
    <w:p w14:paraId="2DAD08AE" w14:textId="77777777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ascii="Arial" w:hAnsi="Arial" w:cs="Arial"/>
          <w:b/>
        </w:rPr>
        <w:t xml:space="preserve">Figura</w:t>
      </w:r>
    </w:p>
    <w:p w14:paraId="3FDF181C" w14:textId="76E66558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rFonts w:ascii="Arial" w:hAnsi="Arial" w:cs="Arial"/>
          <w:b/>
        </w:rPr>
        <w:t xml:space="preserve">Legenda da imagem</w:t>
        <w:br/>
      </w:r>
      <w:r>
        <w:drawing>
          <wp:inline distT="0" distB="0" distL="0" distR="0" wp14:anchorId="7FCAD81A" wp14:editId="3581C821">
            <wp:extent cx="2376316" cy="19431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2020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19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F3FF" w14:textId="77777777" w:rsidR="00C73FF4" w:rsidRDefault="0043395B" w:rsidP="00AA5B0E">
      <w:pPr>
        <w:rPr>
          <w:sz w:val="22"/>
          <w:szCs w:val="22"/>
        </w:rPr>
      </w:pPr>
      <w:r>
        <w:rPr>
          <w:sz w:val="22"/>
          <w:szCs w:val="22"/>
        </w:rPr>
        <w:t xml:space="preserve">172020_a</w:t>
      </w:r>
    </w:p>
    <w:p w14:paraId="35A3D960" w14:textId="77777777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Possibilidade de transformação e economia graças à plataforma: o AvanTech YOU da Hettich permite usar uma gaveta montada em dois trilhos diferentes, usando o mesmo esquema de perfuração do corpo do móvel.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Foto: Hettich</w:t>
      </w:r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0598D781" w:rsidR="00FD17FB" w:rsidRDefault="00F347C6" w:rsidP="00A779C8">
      <w:pPr>
        <w:suppressAutoHyphens/>
        <w:ind w:right="-1"/>
        <w:rPr>
          <w:sz w:val="22"/>
          <w:szCs w:val="22"/>
        </w:rPr>
      </w:pPr>
      <w:r>
        <w:rPr>
          <w:rFonts w:cs="Arial"/>
          <w:b/>
          <w:noProof/>
          <w:color w:val="FF0000"/>
          <w:szCs w:val="24"/>
        </w:rPr>
        <w:drawing>
          <wp:inline distT="0" distB="0" distL="0" distR="0" wp14:anchorId="2087A9B1" wp14:editId="68AA7516">
            <wp:extent cx="2324100" cy="16780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2020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42" cy="16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27884200" w:rsidR="00A779C8" w:rsidRDefault="00F347C6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ascii="Arial" w:hAnsi="Arial" w:cs="Arial"/>
          <w:color w:val="212100"/>
          <w:sz w:val="22"/>
          <w:szCs w:val="22"/>
        </w:rPr>
        <w:t xml:space="preserve">172020_b</w:t>
      </w:r>
    </w:p>
    <w:p w14:paraId="0F5942C7" w14:textId="77777777" w:rsidR="001F690F" w:rsidRDefault="001F690F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Montagem de encaixe confortável</w:t>
      </w:r>
      <w:r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 xml:space="preserve">nova ferragem para portas de correr TopLine XL da Hettich</w:t>
      </w:r>
      <w:r>
        <w:rPr>
          <w:rFonts w:ascii="Arial" w:hAnsi="Arial" w:cs="Arial"/>
          <w:sz w:val="22"/>
          <w:szCs w:val="22"/>
        </w:rPr>
        <w:t xml:space="preserve"> permite realizar com facilidade até mesmo construções à altura do teto.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Foto: Hettich 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0B2E9BE7" w14:textId="5758E8DA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drawing>
          <wp:inline distT="0" distB="0" distL="0" distR="0" wp14:anchorId="08E9DD73" wp14:editId="5FBC8CD1">
            <wp:extent cx="2438054" cy="12192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2020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2" cy="12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DDE" w14:textId="3335AF91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ascii="Arial" w:hAnsi="Arial" w:cs="Arial"/>
          <w:color w:val="212100"/>
          <w:szCs w:val="24"/>
        </w:rPr>
        <w:t xml:space="preserve">172020_c</w:t>
      </w:r>
    </w:p>
    <w:p w14:paraId="5B11EE8D" w14:textId="77777777" w:rsidR="001F690F" w:rsidRDefault="001F690F" w:rsidP="001F690F">
      <w:pPr>
        <w:widowControl w:val="0"/>
        <w:suppressAutoHyphens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Conhecimentos sobre produtos e ferramentas de serviço disponíveis a qualquer momento e em qualquer lugar: o catálogo atual de tecnologia e aplicações da Hettich oferece links diretos para práticas ofertas online.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Foto: Hettich</w:t>
      </w:r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63F4D4F7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drawing>
          <wp:inline distT="0" distB="0" distL="0" distR="0" wp14:anchorId="372E448B" wp14:editId="13750432">
            <wp:extent cx="2428704" cy="1619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 Indore Plant Inauguration 23-02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27" cy="16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A806" w14:textId="4276E9A4" w:rsidR="003775F5" w:rsidRDefault="00CA2595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ascii="Arial" w:hAnsi="Arial" w:cs="Arial"/>
          <w:color w:val="212100"/>
          <w:sz w:val="22"/>
          <w:szCs w:val="22"/>
        </w:rPr>
        <w:t xml:space="preserve">172020_d</w:t>
      </w:r>
    </w:p>
    <w:p w14:paraId="34B5D3F4" w14:textId="12DAFD0A" w:rsidR="00F347C6" w:rsidRPr="00877DD9" w:rsidRDefault="00372B5A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ascii="Arial" w:hAnsi="Arial" w:cs="Arial"/>
          <w:color w:val="212100"/>
          <w:sz w:val="22"/>
          <w:szCs w:val="22"/>
        </w:rPr>
        <w:t xml:space="preserve">Em fevereiro de 2020, a Hettich inaugurou o maior pavilhão de produção do mundo da Hettich em Indore/Índia.</w:t>
      </w:r>
      <w:r>
        <w:rPr>
          <w:rFonts w:ascii="Arial" w:hAnsi="Arial" w:cs="Arial"/>
          <w:color w:val="212100"/>
          <w:sz w:val="22"/>
          <w:szCs w:val="22"/>
        </w:rPr>
        <w:t xml:space="preserve"> </w:t>
      </w:r>
      <w:r>
        <w:rPr>
          <w:rFonts w:ascii="Arial" w:hAnsi="Arial" w:cs="Arial"/>
          <w:color w:val="212100"/>
          <w:sz w:val="22"/>
          <w:szCs w:val="22"/>
        </w:rPr>
        <w:t xml:space="preserve">Foto Hettich</w:t>
      </w:r>
    </w:p>
    <w:p w14:paraId="45D1B525" w14:textId="77777777" w:rsidR="009240CE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Sobre a Hettich</w:t>
      </w:r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ascii="Arial" w:hAnsi="Arial" w:cs="Arial"/>
          <w:color w:val="212100"/>
          <w:sz w:val="20"/>
        </w:rPr>
        <w:t xml:space="preserve">A empresa Hettich foi fundada em 1888 e, atualmente, é um dos maiores e mais bem-sucedidos fabricantes mundiais de ferragens para móveis.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Mais de 6.700 funcionários, em quase 80 países, trabalham juntos com um só objetivo: desenvolver tecnologia inteligente para móveis.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Assim, a Hettich fascina pessoas no mundo todo e é um importante parceiro para a indústria de móveis, comércio e marcenaria.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A marca Hettich representa valores consistentes e é sinônimo de qualidade e inovação,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confiabilidade e proximidade ao cliente.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Mesmo com seu grande porte e renome internacional, a Hettich permaneceu uma empresa familiar.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Por ser independente de investidores, o futuro da empresa é planejado de maneira livre, humana e sustentável. www.hettich.com</w:t>
      </w:r>
    </w:p>
    <w:sectPr w:rsidR="00A779C8" w:rsidRPr="0017209B" w:rsidSect="006F326A">
      <w:headerReference w:type="default" r:id="rId12"/>
      <w:footerReference w:type="default" r:id="rId13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27F9" w14:textId="77777777" w:rsidR="00C01924" w:rsidRDefault="00C01924">
      <w:r>
        <w:separator/>
      </w:r>
    </w:p>
  </w:endnote>
  <w:endnote w:type="continuationSeparator" w:id="0">
    <w:p w14:paraId="0CF4AFBF" w14:textId="77777777" w:rsidR="00C01924" w:rsidRDefault="00C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sz w:val="22"/>
                              <w:szCs w:val="22"/>
                            </w:rPr>
                            <w:t xml:space="preserve">Página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rPr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35A93" w:rsidRPr="00435A93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ajorEastAsia" w:hAnsi="Arial" w:cs="Arial"/>
                        <w:sz w:val="22"/>
                        <w:szCs w:val="22"/>
                      </w:rPr>
                      <w:t xml:space="preserve">Página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435A93" w:rsidRPr="00435A93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Contato para imprensa: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Hettich Holding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Vahrenkampstr.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Alemanha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stephanie.kreidel@hettich.com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Solicita-se exemplar de amostra.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0A3CD5A6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R_172020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Contato para imprensa: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Holding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Vahrenkampstr.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Alemanha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stephanie.kreidel@hettich.com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0A3CD5A6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R_172020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5D7E" w14:textId="77777777" w:rsidR="00C01924" w:rsidRDefault="00C01924">
      <w:r>
        <w:separator/>
      </w:r>
    </w:p>
  </w:footnote>
  <w:footnote w:type="continuationSeparator" w:id="0">
    <w:p w14:paraId="0A5FAD0B" w14:textId="77777777" w:rsidR="00C01924" w:rsidRDefault="00C0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A0ADF"/>
    <w:rsid w:val="004A276D"/>
    <w:rsid w:val="004B2693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27E9"/>
    <w:rsid w:val="00724885"/>
    <w:rsid w:val="0073193C"/>
    <w:rsid w:val="007354E9"/>
    <w:rsid w:val="00744E11"/>
    <w:rsid w:val="00744E66"/>
    <w:rsid w:val="00750ECF"/>
    <w:rsid w:val="007636AD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6A73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5F60"/>
    <w:rsid w:val="00BF65DD"/>
    <w:rsid w:val="00BF7C68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7553"/>
    <w:rsid w:val="00CA2595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E1"/>
    <w:rsid w:val="00E85AD0"/>
    <w:rsid w:val="00E94BC9"/>
    <w:rsid w:val="00EA3403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  <w:rPr>
      <w:rFonts w:ascii="Times New Roman"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  <w:rPr>
      <w:rFonts w:ascii="Arial" w:hAnsi="Arial"/>
    </w:rPr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="Calibri" w:asciiTheme="minorHAnsi" w:eastAsiaTheme="minorHAnsi" w:hAnsi="Calibr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97F0-7BE7-483A-AA43-013A22F9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5</Pages>
  <Words>719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2</cp:revision>
  <cp:lastPrinted>2020-03-05T14:47:00Z</cp:lastPrinted>
  <dcterms:created xsi:type="dcterms:W3CDTF">2020-03-17T16:46:00Z</dcterms:created>
  <dcterms:modified xsi:type="dcterms:W3CDTF">2020-03-17T16:46:00Z</dcterms:modified>
</cp:coreProperties>
</file>