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7414D" w14:textId="77777777" w:rsidR="00E0702D" w:rsidRPr="00E0702D" w:rsidRDefault="00E0702D" w:rsidP="00E0702D">
      <w:pPr>
        <w:spacing w:line="360" w:lineRule="auto"/>
        <w:rPr>
          <w:rFonts w:cs="Arial"/>
          <w:b/>
          <w:color w:val="auto"/>
          <w:sz w:val="28"/>
          <w:szCs w:val="28"/>
        </w:rPr>
      </w:pPr>
      <w:bookmarkStart w:id="0" w:name="_GoBack"/>
      <w:r w:rsidRPr="00E0702D">
        <w:rPr>
          <w:rFonts w:cs="Arial"/>
          <w:b/>
          <w:color w:val="auto"/>
          <w:sz w:val="28"/>
          <w:szCs w:val="28"/>
        </w:rPr>
        <w:t>Collection de poignées ProDecor 2020</w:t>
      </w:r>
    </w:p>
    <w:p w14:paraId="46D106A8" w14:textId="77777777" w:rsidR="00E0702D" w:rsidRPr="00E0702D" w:rsidRDefault="00E0702D" w:rsidP="00E0702D">
      <w:pPr>
        <w:spacing w:line="360" w:lineRule="auto"/>
        <w:rPr>
          <w:rFonts w:cs="Arial"/>
          <w:b/>
          <w:color w:val="auto"/>
          <w:szCs w:val="24"/>
        </w:rPr>
      </w:pPr>
      <w:r w:rsidRPr="00E0702D">
        <w:rPr>
          <w:rFonts w:cs="Arial"/>
          <w:b/>
          <w:color w:val="auto"/>
          <w:szCs w:val="24"/>
        </w:rPr>
        <w:t>Une nouvelle variété de designs possible pour tous les segments de meuble</w:t>
      </w:r>
    </w:p>
    <w:bookmarkEnd w:id="0"/>
    <w:p w14:paraId="5BF93325" w14:textId="77777777" w:rsidR="00E0702D" w:rsidRPr="00E0702D" w:rsidRDefault="00E0702D" w:rsidP="00E0702D">
      <w:pPr>
        <w:spacing w:line="360" w:lineRule="auto"/>
        <w:rPr>
          <w:rFonts w:cs="Arial"/>
          <w:b/>
          <w:color w:val="auto"/>
          <w:szCs w:val="24"/>
        </w:rPr>
      </w:pPr>
    </w:p>
    <w:p w14:paraId="022C03AA" w14:textId="1B553669" w:rsidR="00E0702D" w:rsidRPr="00E0702D" w:rsidRDefault="00E0702D" w:rsidP="00E0702D">
      <w:pPr>
        <w:spacing w:line="360" w:lineRule="auto"/>
        <w:rPr>
          <w:rFonts w:cs="Arial"/>
          <w:b/>
          <w:color w:val="auto"/>
          <w:szCs w:val="24"/>
        </w:rPr>
      </w:pPr>
      <w:r w:rsidRPr="00E0702D">
        <w:rPr>
          <w:rFonts w:cs="Arial"/>
          <w:b/>
          <w:color w:val="auto"/>
          <w:szCs w:val="24"/>
        </w:rPr>
        <w:t>Une belle poignée apporte une touche particulière au design du meuble. En 2020, la nouvelle collection de poignées ProDecor permet, en plus, de profiter d’une liberté d’aménagement encore plus grande : vous avez le choix entre, au total, 189 poignées et boutons dans 979 variantes attrayantes. Ainsi, les menuisiers, les artisans et les revendeurs peuvent à nouveau améliorer considérablement l'attrait visuel de leurs concepts de meuble tendance dans tous les segments.</w:t>
      </w:r>
    </w:p>
    <w:p w14:paraId="6D952F7A" w14:textId="77777777" w:rsidR="00E0702D" w:rsidRPr="00E0702D" w:rsidRDefault="00E0702D" w:rsidP="00E0702D">
      <w:pPr>
        <w:spacing w:line="360" w:lineRule="auto"/>
        <w:rPr>
          <w:rFonts w:cs="Arial"/>
          <w:color w:val="auto"/>
          <w:szCs w:val="24"/>
        </w:rPr>
      </w:pPr>
    </w:p>
    <w:p w14:paraId="0F4B474C" w14:textId="77777777" w:rsidR="00E0702D" w:rsidRPr="00E0702D" w:rsidRDefault="00E0702D" w:rsidP="00E0702D">
      <w:pPr>
        <w:spacing w:line="360" w:lineRule="auto"/>
        <w:rPr>
          <w:rFonts w:cs="Arial"/>
          <w:color w:val="auto"/>
          <w:szCs w:val="24"/>
        </w:rPr>
      </w:pPr>
      <w:r w:rsidRPr="00E0702D">
        <w:rPr>
          <w:rFonts w:cs="Arial"/>
          <w:color w:val="auto"/>
          <w:szCs w:val="24"/>
        </w:rPr>
        <w:t xml:space="preserve">Avec ses 136 pages, le nouveau catalogue ProDecor présente la gamme actuelle de produits « Inspired by Life » riche en nouveaux modèles et matériaux pour quatre univers de style, à savoir New Modern, Deluxe, Organic et Folk. La collection New Modern impressionne par ses formes claires et futuristes ainsi que par sa finition au toucher sympathique permettant de créer des façades de meubles aux formes épurées. L’univers du style Deluxe se distingue par des métaux scintillants et des couleurs majestueuses pour un design de poignée vigoureux. – Préférez-vous plutôt retrouver un style de vie naturel ? Vous trouverez votre bonheur dans l’univers du style Organic : cette collection vit de ses formes organiques et des surfaces rugueuses écologiques. La collection Folk adopte, quant à elle, des formes et des couleurs traditionnelles. Vous avez le choix entre de nombreux motifs exubérants, des surfaces douces ou un aspect vieilli raffiné et </w:t>
      </w:r>
      <w:r w:rsidRPr="00E0702D">
        <w:rPr>
          <w:rFonts w:cs="Arial"/>
          <w:color w:val="auto"/>
          <w:szCs w:val="24"/>
        </w:rPr>
        <w:lastRenderedPageBreak/>
        <w:t>vous y découvrirez des poignées de meuble très typées qui vous racontent leur propre histoire.</w:t>
      </w:r>
    </w:p>
    <w:p w14:paraId="55FAEF45" w14:textId="77777777" w:rsidR="00E0702D" w:rsidRPr="00E0702D" w:rsidRDefault="00E0702D" w:rsidP="00E0702D">
      <w:pPr>
        <w:spacing w:line="360" w:lineRule="auto"/>
        <w:rPr>
          <w:rFonts w:cs="Arial"/>
          <w:color w:val="auto"/>
          <w:szCs w:val="24"/>
        </w:rPr>
      </w:pPr>
    </w:p>
    <w:p w14:paraId="16BA20E8" w14:textId="77777777" w:rsidR="00E0702D" w:rsidRPr="00E0702D" w:rsidRDefault="00E0702D" w:rsidP="00E0702D">
      <w:pPr>
        <w:spacing w:line="360" w:lineRule="auto"/>
        <w:rPr>
          <w:rFonts w:cs="Arial"/>
          <w:color w:val="auto"/>
          <w:szCs w:val="24"/>
        </w:rPr>
      </w:pPr>
      <w:r w:rsidRPr="00E0702D">
        <w:rPr>
          <w:rFonts w:cs="Arial"/>
          <w:color w:val="auto"/>
          <w:szCs w:val="24"/>
        </w:rPr>
        <w:t>Les clients trouveront tous les accessoires et aides à l’usinage nécessaires dans la partie du catalogue réservée au service après-vente. L’index illustré du catalogue est également pratique et est divisé par groupes de matériaux : il n’a jamais été aussi simple de trouver l’article souhaité.</w:t>
      </w:r>
    </w:p>
    <w:p w14:paraId="7D8D1AE7" w14:textId="77777777" w:rsidR="00E0702D" w:rsidRPr="00E0702D" w:rsidRDefault="00E0702D" w:rsidP="00E0702D">
      <w:pPr>
        <w:spacing w:line="360" w:lineRule="auto"/>
        <w:rPr>
          <w:rFonts w:cs="Arial"/>
          <w:color w:val="auto"/>
          <w:szCs w:val="24"/>
        </w:rPr>
      </w:pPr>
    </w:p>
    <w:p w14:paraId="294DF9B8" w14:textId="77777777" w:rsidR="00E0702D" w:rsidRPr="00E0702D" w:rsidRDefault="00E0702D" w:rsidP="00E0702D">
      <w:pPr>
        <w:spacing w:line="360" w:lineRule="auto"/>
        <w:rPr>
          <w:rFonts w:cs="Arial"/>
          <w:b/>
          <w:color w:val="auto"/>
          <w:szCs w:val="24"/>
        </w:rPr>
      </w:pPr>
      <w:r w:rsidRPr="00E0702D">
        <w:rPr>
          <w:rFonts w:cs="Arial"/>
          <w:b/>
          <w:color w:val="auto"/>
          <w:szCs w:val="24"/>
        </w:rPr>
        <w:t>Les services en ligne : de l’idée à la réalisation</w:t>
      </w:r>
    </w:p>
    <w:p w14:paraId="2F71CD9A" w14:textId="77777777" w:rsidR="00E0702D" w:rsidRPr="00E0702D" w:rsidRDefault="00E0702D" w:rsidP="00E0702D">
      <w:pPr>
        <w:spacing w:line="360" w:lineRule="auto"/>
        <w:rPr>
          <w:rFonts w:cs="Arial"/>
          <w:color w:val="auto"/>
          <w:szCs w:val="24"/>
        </w:rPr>
      </w:pPr>
      <w:r w:rsidRPr="00E0702D">
        <w:rPr>
          <w:rFonts w:cs="Arial"/>
          <w:color w:val="auto"/>
          <w:szCs w:val="24"/>
        </w:rPr>
        <w:t>Dans la nouvelle rubrique consacrée à ProDecor sur le site www.hettich.com, vous trouverez toutes les informations sur la collection de poignées ProDecor 2020 sous forme de fichiers PDF ou de catalogue interactif en ligne en allemand, en anglais, en français et en néerlandais. L’eShop de Hettich avec sa fonction de commande pratique fournit également des informations détaillées sur les articles. Chaque modèle y est, en outre, représenté sur sept façades de meuble différentes. Cela permet ainsi de découvrir quels effets particuliers produisent les poignées et les boutons.</w:t>
      </w:r>
    </w:p>
    <w:p w14:paraId="3BE96AE8" w14:textId="77777777" w:rsidR="00E0702D" w:rsidRPr="00E0702D" w:rsidRDefault="00E0702D" w:rsidP="00E0702D">
      <w:pPr>
        <w:spacing w:line="360" w:lineRule="auto"/>
        <w:rPr>
          <w:rFonts w:cs="Arial"/>
          <w:color w:val="auto"/>
          <w:szCs w:val="24"/>
        </w:rPr>
      </w:pPr>
    </w:p>
    <w:p w14:paraId="04B71795" w14:textId="77777777" w:rsidR="00E0702D" w:rsidRPr="00E0702D" w:rsidRDefault="00E0702D" w:rsidP="00E0702D">
      <w:pPr>
        <w:spacing w:line="360" w:lineRule="auto"/>
        <w:rPr>
          <w:rFonts w:cs="Arial"/>
          <w:color w:val="auto"/>
          <w:szCs w:val="24"/>
        </w:rPr>
      </w:pPr>
      <w:r w:rsidRPr="00E0702D">
        <w:rPr>
          <w:rFonts w:cs="Arial"/>
          <w:color w:val="auto"/>
          <w:szCs w:val="24"/>
        </w:rPr>
        <w:t>Vous pouvez télécharger les ressources photographiques suivantes sur www.hettich.com, menu : « Presse » :</w:t>
      </w:r>
    </w:p>
    <w:p w14:paraId="7F1065AC" w14:textId="77777777" w:rsidR="00E0702D" w:rsidRPr="00E0702D" w:rsidRDefault="00E0702D" w:rsidP="00E0702D">
      <w:pPr>
        <w:spacing w:line="360" w:lineRule="auto"/>
        <w:rPr>
          <w:rFonts w:cs="Arial"/>
          <w:b/>
          <w:color w:val="auto"/>
          <w:szCs w:val="24"/>
        </w:rPr>
      </w:pPr>
    </w:p>
    <w:p w14:paraId="322D7292" w14:textId="77777777" w:rsidR="00E0702D" w:rsidRPr="0021289A" w:rsidRDefault="00E0702D" w:rsidP="00E0702D">
      <w:pPr>
        <w:widowControl w:val="0"/>
        <w:suppressAutoHyphens/>
        <w:rPr>
          <w:rFonts w:cs="Arial"/>
          <w:sz w:val="22"/>
          <w:szCs w:val="22"/>
          <w:lang w:val="sv-SE" w:eastAsia="sv-SE"/>
        </w:rPr>
      </w:pPr>
    </w:p>
    <w:p w14:paraId="14910FAD" w14:textId="77777777" w:rsidR="00E0702D" w:rsidRPr="0083775F" w:rsidRDefault="00E0702D" w:rsidP="00E0702D">
      <w:pPr>
        <w:widowControl w:val="0"/>
        <w:suppressAutoHyphens/>
        <w:rPr>
          <w:rFonts w:cs="Arial"/>
          <w:b/>
          <w:sz w:val="22"/>
          <w:szCs w:val="22"/>
          <w:lang w:val="sv-SE" w:eastAsia="sv-SE"/>
        </w:rPr>
      </w:pPr>
      <w:r>
        <w:rPr>
          <w:rFonts w:cs="Arial"/>
          <w:b/>
          <w:noProof/>
          <w:sz w:val="22"/>
          <w:szCs w:val="22"/>
        </w:rPr>
        <w:drawing>
          <wp:inline distT="0" distB="0" distL="0" distR="0" wp14:anchorId="3FA7E7A1" wp14:editId="276DD00D">
            <wp:extent cx="1635512" cy="1180883"/>
            <wp:effectExtent l="0" t="0" r="317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2020_a.jpg"/>
                    <pic:cNvPicPr/>
                  </pic:nvPicPr>
                  <pic:blipFill>
                    <a:blip r:embed="rId8" cstate="email">
                      <a:extLst>
                        <a:ext uri="{28A0092B-C50C-407E-A947-70E740481C1C}">
                          <a14:useLocalDpi xmlns:a14="http://schemas.microsoft.com/office/drawing/2010/main"/>
                        </a:ext>
                      </a:extLst>
                    </a:blip>
                    <a:stretch>
                      <a:fillRect/>
                    </a:stretch>
                  </pic:blipFill>
                  <pic:spPr>
                    <a:xfrm>
                      <a:off x="0" y="0"/>
                      <a:ext cx="1659008" cy="1197848"/>
                    </a:xfrm>
                    <a:prstGeom prst="rect">
                      <a:avLst/>
                    </a:prstGeom>
                  </pic:spPr>
                </pic:pic>
              </a:graphicData>
            </a:graphic>
          </wp:inline>
        </w:drawing>
      </w:r>
    </w:p>
    <w:p w14:paraId="1C132203" w14:textId="77777777" w:rsidR="00E0702D" w:rsidRPr="00CA5931" w:rsidRDefault="00E0702D" w:rsidP="00E0702D">
      <w:pPr>
        <w:widowControl w:val="0"/>
        <w:suppressAutoHyphens/>
        <w:rPr>
          <w:rFonts w:cs="Arial"/>
          <w:b/>
          <w:color w:val="auto"/>
          <w:sz w:val="22"/>
          <w:szCs w:val="22"/>
          <w:lang w:eastAsia="sv-SE"/>
        </w:rPr>
      </w:pPr>
      <w:r>
        <w:rPr>
          <w:rFonts w:cs="Arial"/>
          <w:b/>
          <w:color w:val="auto"/>
          <w:sz w:val="22"/>
          <w:szCs w:val="22"/>
        </w:rPr>
        <w:t>252020_a</w:t>
      </w:r>
    </w:p>
    <w:p w14:paraId="250C8F7A" w14:textId="77777777" w:rsidR="00E0702D" w:rsidRPr="00CA5931" w:rsidRDefault="00E0702D" w:rsidP="00E0702D">
      <w:pPr>
        <w:rPr>
          <w:color w:val="auto"/>
          <w:sz w:val="22"/>
          <w:szCs w:val="22"/>
        </w:rPr>
      </w:pPr>
      <w:r>
        <w:rPr>
          <w:color w:val="auto"/>
          <w:sz w:val="22"/>
          <w:szCs w:val="22"/>
        </w:rPr>
        <w:lastRenderedPageBreak/>
        <w:t>En 2020, la collection de poignées ProDecor regroupe des modèles et des matériaux nouveaux pour une plus grande diversité de design dans tous les segments de meubles. Photo : Hettich</w:t>
      </w:r>
    </w:p>
    <w:p w14:paraId="6DE9129C" w14:textId="77777777" w:rsidR="00E0702D" w:rsidRPr="00CA5931" w:rsidRDefault="00E0702D" w:rsidP="00E0702D">
      <w:pPr>
        <w:widowControl w:val="0"/>
        <w:suppressAutoHyphens/>
        <w:rPr>
          <w:color w:val="auto"/>
          <w:sz w:val="22"/>
          <w:szCs w:val="22"/>
        </w:rPr>
      </w:pPr>
    </w:p>
    <w:p w14:paraId="217BDBF7" w14:textId="77777777" w:rsidR="00E0702D" w:rsidRPr="00CA5931" w:rsidRDefault="00E0702D" w:rsidP="00E0702D">
      <w:pPr>
        <w:widowControl w:val="0"/>
        <w:suppressAutoHyphens/>
        <w:rPr>
          <w:color w:val="auto"/>
          <w:sz w:val="22"/>
          <w:szCs w:val="22"/>
        </w:rPr>
      </w:pPr>
      <w:r w:rsidRPr="00CA5931">
        <w:rPr>
          <w:noProof/>
          <w:color w:val="auto"/>
          <w:sz w:val="22"/>
          <w:szCs w:val="22"/>
        </w:rPr>
        <w:drawing>
          <wp:inline distT="0" distB="0" distL="0" distR="0" wp14:anchorId="3AD33DEB" wp14:editId="54FB26E1">
            <wp:extent cx="1657350" cy="119665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2020_b.jpg"/>
                    <pic:cNvPicPr/>
                  </pic:nvPicPr>
                  <pic:blipFill>
                    <a:blip r:embed="rId9" cstate="email">
                      <a:extLst>
                        <a:ext uri="{28A0092B-C50C-407E-A947-70E740481C1C}">
                          <a14:useLocalDpi xmlns:a14="http://schemas.microsoft.com/office/drawing/2010/main"/>
                        </a:ext>
                      </a:extLst>
                    </a:blip>
                    <a:stretch>
                      <a:fillRect/>
                    </a:stretch>
                  </pic:blipFill>
                  <pic:spPr>
                    <a:xfrm>
                      <a:off x="0" y="0"/>
                      <a:ext cx="1684229" cy="1216057"/>
                    </a:xfrm>
                    <a:prstGeom prst="rect">
                      <a:avLst/>
                    </a:prstGeom>
                  </pic:spPr>
                </pic:pic>
              </a:graphicData>
            </a:graphic>
          </wp:inline>
        </w:drawing>
      </w:r>
    </w:p>
    <w:p w14:paraId="27B25EC9" w14:textId="77777777" w:rsidR="00E0702D" w:rsidRPr="00CA5931" w:rsidRDefault="00E0702D" w:rsidP="00E0702D">
      <w:pPr>
        <w:widowControl w:val="0"/>
        <w:suppressAutoHyphens/>
        <w:rPr>
          <w:b/>
          <w:color w:val="auto"/>
          <w:sz w:val="22"/>
          <w:szCs w:val="22"/>
        </w:rPr>
      </w:pPr>
      <w:r>
        <w:rPr>
          <w:b/>
          <w:color w:val="auto"/>
          <w:sz w:val="22"/>
          <w:szCs w:val="22"/>
        </w:rPr>
        <w:t>252020_b</w:t>
      </w:r>
    </w:p>
    <w:p w14:paraId="00EB0683" w14:textId="77777777" w:rsidR="00E0702D" w:rsidRPr="00CA5931" w:rsidRDefault="00E0702D" w:rsidP="00E0702D">
      <w:pPr>
        <w:widowControl w:val="0"/>
        <w:suppressAutoHyphens/>
        <w:rPr>
          <w:color w:val="auto"/>
          <w:sz w:val="22"/>
          <w:szCs w:val="22"/>
        </w:rPr>
      </w:pPr>
      <w:r>
        <w:rPr>
          <w:color w:val="auto"/>
          <w:sz w:val="22"/>
          <w:szCs w:val="22"/>
        </w:rPr>
        <w:t>Les poignées de l’univers Organic harmonisent parfaitement avec le look naturel. Il s’agit ici du nouveau modèle Olivia aspect aluminium. Photo : Hettich</w:t>
      </w:r>
    </w:p>
    <w:p w14:paraId="536579A0" w14:textId="77777777" w:rsidR="00E0702D" w:rsidRPr="00CA5931" w:rsidRDefault="00E0702D" w:rsidP="00E0702D">
      <w:pPr>
        <w:widowControl w:val="0"/>
        <w:suppressAutoHyphens/>
        <w:rPr>
          <w:color w:val="auto"/>
          <w:sz w:val="22"/>
          <w:szCs w:val="22"/>
        </w:rPr>
      </w:pPr>
    </w:p>
    <w:p w14:paraId="76F7C524" w14:textId="77777777" w:rsidR="00E0702D" w:rsidRPr="00CA5931" w:rsidRDefault="00E0702D" w:rsidP="00E0702D">
      <w:pPr>
        <w:widowControl w:val="0"/>
        <w:suppressAutoHyphens/>
        <w:rPr>
          <w:color w:val="auto"/>
          <w:sz w:val="22"/>
          <w:szCs w:val="22"/>
        </w:rPr>
      </w:pPr>
      <w:r w:rsidRPr="00CA5931">
        <w:rPr>
          <w:noProof/>
          <w:color w:val="auto"/>
          <w:sz w:val="22"/>
          <w:szCs w:val="22"/>
        </w:rPr>
        <w:drawing>
          <wp:inline distT="0" distB="0" distL="0" distR="0" wp14:anchorId="420F5CA8" wp14:editId="6262677B">
            <wp:extent cx="1667989" cy="1204332"/>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2020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696178" cy="1224685"/>
                    </a:xfrm>
                    <a:prstGeom prst="rect">
                      <a:avLst/>
                    </a:prstGeom>
                  </pic:spPr>
                </pic:pic>
              </a:graphicData>
            </a:graphic>
          </wp:inline>
        </w:drawing>
      </w:r>
    </w:p>
    <w:p w14:paraId="1A52EF77" w14:textId="77777777" w:rsidR="00E0702D" w:rsidRPr="00CA5931" w:rsidRDefault="00E0702D" w:rsidP="00E0702D">
      <w:pPr>
        <w:widowControl w:val="0"/>
        <w:suppressAutoHyphens/>
        <w:rPr>
          <w:b/>
          <w:color w:val="auto"/>
          <w:sz w:val="22"/>
          <w:szCs w:val="22"/>
        </w:rPr>
      </w:pPr>
      <w:r>
        <w:rPr>
          <w:b/>
          <w:color w:val="auto"/>
          <w:sz w:val="22"/>
          <w:szCs w:val="22"/>
        </w:rPr>
        <w:t>252020_c</w:t>
      </w:r>
    </w:p>
    <w:p w14:paraId="7AB96598" w14:textId="77777777" w:rsidR="00E0702D" w:rsidRPr="00CA5931" w:rsidRDefault="00E0702D" w:rsidP="00E0702D">
      <w:pPr>
        <w:rPr>
          <w:color w:val="auto"/>
          <w:sz w:val="22"/>
          <w:szCs w:val="22"/>
        </w:rPr>
      </w:pPr>
      <w:r>
        <w:rPr>
          <w:color w:val="auto"/>
          <w:sz w:val="22"/>
          <w:szCs w:val="22"/>
        </w:rPr>
        <w:t>Une gamme de produits exclusifs pour des effets nobles : la poignée Limpio de l’univers Deluxe est disponible soit en blanc mat, soit en noir mat. Photo : Hettich</w:t>
      </w:r>
    </w:p>
    <w:p w14:paraId="357B6F5B" w14:textId="77777777" w:rsidR="00E0702D" w:rsidRPr="00CA5931" w:rsidRDefault="00E0702D" w:rsidP="00E0702D">
      <w:pPr>
        <w:widowControl w:val="0"/>
        <w:suppressAutoHyphens/>
        <w:rPr>
          <w:color w:val="auto"/>
          <w:sz w:val="22"/>
          <w:szCs w:val="22"/>
        </w:rPr>
      </w:pPr>
    </w:p>
    <w:p w14:paraId="5B6BC8B4" w14:textId="77777777" w:rsidR="00E0702D" w:rsidRPr="00351A24" w:rsidRDefault="00E0702D" w:rsidP="00E0702D">
      <w:pPr>
        <w:widowControl w:val="0"/>
        <w:suppressAutoHyphens/>
        <w:rPr>
          <w:color w:val="0070C0"/>
          <w:sz w:val="22"/>
          <w:szCs w:val="22"/>
        </w:rPr>
      </w:pPr>
      <w:r w:rsidRPr="00351A24">
        <w:rPr>
          <w:noProof/>
          <w:color w:val="0070C0"/>
          <w:sz w:val="22"/>
          <w:szCs w:val="22"/>
        </w:rPr>
        <w:drawing>
          <wp:inline distT="0" distB="0" distL="0" distR="0" wp14:anchorId="7428BA57" wp14:editId="59818195">
            <wp:extent cx="1657693" cy="1196898"/>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2020_d.jpg"/>
                    <pic:cNvPicPr/>
                  </pic:nvPicPr>
                  <pic:blipFill>
                    <a:blip r:embed="rId11" cstate="email">
                      <a:extLst>
                        <a:ext uri="{28A0092B-C50C-407E-A947-70E740481C1C}">
                          <a14:useLocalDpi xmlns:a14="http://schemas.microsoft.com/office/drawing/2010/main"/>
                        </a:ext>
                      </a:extLst>
                    </a:blip>
                    <a:stretch>
                      <a:fillRect/>
                    </a:stretch>
                  </pic:blipFill>
                  <pic:spPr>
                    <a:xfrm>
                      <a:off x="0" y="0"/>
                      <a:ext cx="1680958" cy="1213696"/>
                    </a:xfrm>
                    <a:prstGeom prst="rect">
                      <a:avLst/>
                    </a:prstGeom>
                  </pic:spPr>
                </pic:pic>
              </a:graphicData>
            </a:graphic>
          </wp:inline>
        </w:drawing>
      </w:r>
    </w:p>
    <w:p w14:paraId="50FF88A4" w14:textId="77777777" w:rsidR="00E0702D" w:rsidRPr="00E5502B" w:rsidRDefault="00E0702D" w:rsidP="00E0702D">
      <w:pPr>
        <w:widowControl w:val="0"/>
        <w:suppressAutoHyphens/>
        <w:rPr>
          <w:b/>
          <w:color w:val="auto"/>
          <w:sz w:val="22"/>
          <w:szCs w:val="22"/>
        </w:rPr>
      </w:pPr>
      <w:r>
        <w:rPr>
          <w:b/>
          <w:color w:val="auto"/>
          <w:sz w:val="22"/>
          <w:szCs w:val="22"/>
        </w:rPr>
        <w:t>252020_d</w:t>
      </w:r>
    </w:p>
    <w:p w14:paraId="7629E0F4" w14:textId="77777777" w:rsidR="00E0702D" w:rsidRPr="00E5502B" w:rsidRDefault="00E0702D" w:rsidP="00E0702D">
      <w:pPr>
        <w:rPr>
          <w:color w:val="auto"/>
          <w:sz w:val="22"/>
          <w:szCs w:val="22"/>
        </w:rPr>
      </w:pPr>
      <w:r>
        <w:rPr>
          <w:color w:val="auto"/>
          <w:sz w:val="22"/>
          <w:szCs w:val="22"/>
        </w:rPr>
        <w:t>La tendance rétro pour tous les intérieurs : la nouvelle poignée noir mat Topeka est la petite dernière de l’univers Folk. Photo : Hettich</w:t>
      </w:r>
    </w:p>
    <w:p w14:paraId="58551335" w14:textId="77777777" w:rsidR="00E0702D" w:rsidRDefault="00E0702D" w:rsidP="00C83CF9">
      <w:pPr>
        <w:widowControl w:val="0"/>
        <w:suppressAutoHyphens/>
        <w:spacing w:line="360" w:lineRule="auto"/>
        <w:ind w:right="-1"/>
        <w:rPr>
          <w:rFonts w:cs="Arial"/>
          <w:sz w:val="18"/>
          <w:szCs w:val="18"/>
          <w:u w:val="single"/>
        </w:rPr>
      </w:pPr>
    </w:p>
    <w:p w14:paraId="3F946BBF" w14:textId="77777777" w:rsidR="00E85EA2" w:rsidRDefault="00E85EA2" w:rsidP="00C83CF9">
      <w:pPr>
        <w:widowControl w:val="0"/>
        <w:suppressAutoHyphens/>
        <w:spacing w:line="360" w:lineRule="auto"/>
        <w:ind w:right="-1"/>
        <w:rPr>
          <w:rFonts w:cs="Arial"/>
          <w:sz w:val="18"/>
          <w:szCs w:val="18"/>
          <w:u w:val="single"/>
        </w:rPr>
      </w:pPr>
    </w:p>
    <w:p w14:paraId="614D206C" w14:textId="45674C4D" w:rsidR="00D56773" w:rsidRPr="00C44794" w:rsidRDefault="00D56773" w:rsidP="00C83CF9">
      <w:pPr>
        <w:widowControl w:val="0"/>
        <w:suppressAutoHyphens/>
        <w:spacing w:line="360" w:lineRule="auto"/>
        <w:ind w:right="-1"/>
        <w:rPr>
          <w:rFonts w:cs="Arial"/>
          <w:sz w:val="18"/>
          <w:szCs w:val="18"/>
          <w:u w:val="single"/>
        </w:rPr>
      </w:pPr>
      <w:r>
        <w:rPr>
          <w:rFonts w:cs="Arial"/>
          <w:sz w:val="18"/>
          <w:szCs w:val="18"/>
          <w:u w:val="single"/>
        </w:rPr>
        <w:t>À propos de Hettich</w:t>
      </w:r>
    </w:p>
    <w:p w14:paraId="230BD15D" w14:textId="1FFD8E66" w:rsidR="00ED1203" w:rsidRDefault="00D56773" w:rsidP="00C83CF9">
      <w:pPr>
        <w:suppressAutoHyphens/>
        <w:ind w:right="-1"/>
        <w:rPr>
          <w:rFonts w:cs="Arial"/>
          <w:color w:val="212100"/>
          <w:sz w:val="18"/>
          <w:szCs w:val="18"/>
        </w:rPr>
      </w:pPr>
      <w:r>
        <w:rPr>
          <w:rFonts w:cs="Arial"/>
          <w:color w:val="212100"/>
          <w:sz w:val="18"/>
          <w:szCs w:val="18"/>
        </w:rPr>
        <w:t>La société Hettich a été fondée en 1888 et est aujourd'hui l'un des plus grands et des plus connus fabricants de ferrures pour meuble au monde. Plus de 6 700 collaboratrices et collaborateurs travaillent tous ensemble dans près de 80 pays dans un seul but : développer de la quincaillerie intelligente pour les meubles. C'est ainsi que Hettich enthousiasme les personnes du monde entier et est un partenaire de choix pour l'industrie du meuble, du commerce et de l'artisanat.</w:t>
      </w:r>
      <w:r>
        <w:rPr>
          <w:rFonts w:cs="Arial"/>
          <w:sz w:val="18"/>
          <w:szCs w:val="18"/>
        </w:rPr>
        <w:t xml:space="preserve"> </w:t>
      </w:r>
      <w:r>
        <w:rPr>
          <w:rFonts w:cs="Arial"/>
          <w:color w:val="212100"/>
          <w:sz w:val="18"/>
          <w:szCs w:val="18"/>
        </w:rPr>
        <w:t xml:space="preserve">La marque Hettich est synonyme de valeurs essentielles : de qualité, d’innovation, de fiabilité et de proximité avec le client. Malgré sa taille et son importance au niveau international, Hettich est toujours restée </w:t>
      </w:r>
      <w:r>
        <w:rPr>
          <w:rFonts w:cs="Arial"/>
          <w:color w:val="212100"/>
          <w:sz w:val="18"/>
          <w:szCs w:val="18"/>
        </w:rPr>
        <w:lastRenderedPageBreak/>
        <w:t xml:space="preserve">une entreprise familiale. Indépendamment des investisseurs, l'avenir de la société restera libre de toute contrainte, humain et durable. </w:t>
      </w:r>
      <w:hyperlink r:id="rId12" w:history="1">
        <w:r>
          <w:rPr>
            <w:rStyle w:val="Hyperlink"/>
            <w:rFonts w:cs="Arial"/>
            <w:sz w:val="18"/>
            <w:szCs w:val="18"/>
          </w:rPr>
          <w:t>www.hettich.com</w:t>
        </w:r>
      </w:hyperlink>
    </w:p>
    <w:sectPr w:rsidR="00ED1203" w:rsidSect="006F326A">
      <w:headerReference w:type="default" r:id="rId13"/>
      <w:footerReference w:type="default" r:id="rId14"/>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B8AF" w14:textId="77777777" w:rsidR="0038034A" w:rsidRDefault="0038034A">
      <w:r>
        <w:separator/>
      </w:r>
    </w:p>
  </w:endnote>
  <w:endnote w:type="continuationSeparator" w:id="0">
    <w:p w14:paraId="75B4EFC6" w14:textId="77777777" w:rsidR="0038034A" w:rsidRDefault="0038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1345C" w:rsidRPr="00C1345C">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1345C" w:rsidRPr="00C1345C">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Contact presse :</w:t>
                          </w:r>
                        </w:p>
                        <w:p w14:paraId="27CFF112" w14:textId="492EBB31"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Default="003153CC" w:rsidP="003153CC">
                          <w:pPr>
                            <w:rPr>
                              <w:rFonts w:cs="Arial"/>
                              <w:sz w:val="16"/>
                              <w:szCs w:val="16"/>
                              <w:lang w:val="sv-SE"/>
                            </w:rPr>
                          </w:pPr>
                          <w:r>
                            <w:rPr>
                              <w:rFonts w:cs="Arial"/>
                              <w:sz w:val="16"/>
                              <w:szCs w:val="16"/>
                            </w:rPr>
                            <w:t>D-32602 Vlotho</w:t>
                          </w:r>
                        </w:p>
                        <w:p w14:paraId="22FAC172" w14:textId="79931087" w:rsidR="004F1EB8" w:rsidRPr="003153CC" w:rsidRDefault="004F1EB8" w:rsidP="003153CC">
                          <w:pPr>
                            <w:rPr>
                              <w:rFonts w:cs="Arial"/>
                              <w:sz w:val="16"/>
                              <w:szCs w:val="16"/>
                              <w:lang w:val="sv-SE"/>
                            </w:rPr>
                          </w:pPr>
                          <w:r>
                            <w:rPr>
                              <w:rFonts w:cs="Arial"/>
                              <w:sz w:val="16"/>
                              <w:szCs w:val="16"/>
                            </w:rPr>
                            <w:t>Allemagne</w:t>
                          </w:r>
                        </w:p>
                        <w:p w14:paraId="3F501568" w14:textId="5A8ED282" w:rsidR="003153CC" w:rsidRPr="003153CC" w:rsidRDefault="003153CC" w:rsidP="003153CC">
                          <w:pPr>
                            <w:rPr>
                              <w:rFonts w:cs="Arial"/>
                              <w:sz w:val="16"/>
                              <w:szCs w:val="16"/>
                              <w:lang w:val="sv-SE"/>
                            </w:rPr>
                          </w:pPr>
                          <w:r>
                            <w:rPr>
                              <w:rFonts w:cs="Arial"/>
                              <w:sz w:val="16"/>
                              <w:szCs w:val="16"/>
                            </w:rPr>
                            <w:t>Tél. : +49 5733 798-879</w:t>
                          </w:r>
                        </w:p>
                        <w:p w14:paraId="7E521650" w14:textId="34AE420A" w:rsidR="003153CC" w:rsidRPr="003153CC" w:rsidRDefault="00BF65DD"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784B71DF" w14:textId="579A89C7" w:rsidR="00650D5C" w:rsidRPr="00650D5C" w:rsidRDefault="00650D5C" w:rsidP="00650D5C">
                          <w:pPr>
                            <w:rPr>
                              <w:szCs w:val="24"/>
                            </w:rPr>
                          </w:pPr>
                          <w:r>
                            <w:rPr>
                              <w:szCs w:val="24"/>
                            </w:rPr>
                            <w:t>PR_</w:t>
                          </w:r>
                          <w:r w:rsidR="002E2453">
                            <w:rPr>
                              <w:szCs w:val="24"/>
                            </w:rPr>
                            <w:t>2</w:t>
                          </w:r>
                          <w:r w:rsidR="00E0702D">
                            <w:rPr>
                              <w:szCs w:val="24"/>
                            </w:rPr>
                            <w:t>5</w:t>
                          </w:r>
                          <w:r>
                            <w:rPr>
                              <w:szCs w:val="24"/>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cs="Arial"/>
                        <w:sz w:val="16"/>
                        <w:szCs w:val="16"/>
                      </w:rPr>
                      <w:t>Contact presse :</w:t>
                    </w:r>
                  </w:p>
                  <w:p w14:paraId="27CFF112" w14:textId="492EBB31"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Default="003153CC" w:rsidP="003153CC">
                    <w:pPr>
                      <w:rPr>
                        <w:rFonts w:cs="Arial"/>
                        <w:sz w:val="16"/>
                        <w:szCs w:val="16"/>
                        <w:lang w:val="sv-SE"/>
                      </w:rPr>
                    </w:pPr>
                    <w:r>
                      <w:rPr>
                        <w:rFonts w:cs="Arial"/>
                        <w:sz w:val="16"/>
                        <w:szCs w:val="16"/>
                      </w:rPr>
                      <w:t>D-32602 Vlotho</w:t>
                    </w:r>
                  </w:p>
                  <w:p w14:paraId="22FAC172" w14:textId="79931087" w:rsidR="004F1EB8" w:rsidRPr="003153CC" w:rsidRDefault="004F1EB8" w:rsidP="003153CC">
                    <w:pPr>
                      <w:rPr>
                        <w:rFonts w:cs="Arial"/>
                        <w:sz w:val="16"/>
                        <w:szCs w:val="16"/>
                        <w:lang w:val="sv-SE"/>
                      </w:rPr>
                    </w:pPr>
                    <w:r>
                      <w:rPr>
                        <w:rFonts w:cs="Arial"/>
                        <w:sz w:val="16"/>
                        <w:szCs w:val="16"/>
                      </w:rPr>
                      <w:t>Allemagne</w:t>
                    </w:r>
                  </w:p>
                  <w:p w14:paraId="3F501568" w14:textId="5A8ED282" w:rsidR="003153CC" w:rsidRPr="003153CC" w:rsidRDefault="003153CC" w:rsidP="003153CC">
                    <w:pPr>
                      <w:rPr>
                        <w:rFonts w:cs="Arial"/>
                        <w:sz w:val="16"/>
                        <w:szCs w:val="16"/>
                        <w:lang w:val="sv-SE"/>
                      </w:rPr>
                    </w:pPr>
                    <w:r>
                      <w:rPr>
                        <w:rFonts w:cs="Arial"/>
                        <w:sz w:val="16"/>
                        <w:szCs w:val="16"/>
                      </w:rPr>
                      <w:t>Tél. : +49 5733 798-879</w:t>
                    </w:r>
                  </w:p>
                  <w:p w14:paraId="7E521650" w14:textId="34AE420A" w:rsidR="003153CC" w:rsidRPr="003153CC" w:rsidRDefault="00BF65DD"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784B71DF" w14:textId="579A89C7" w:rsidR="00650D5C" w:rsidRPr="00650D5C" w:rsidRDefault="00650D5C" w:rsidP="00650D5C">
                    <w:pPr>
                      <w:rPr>
                        <w:szCs w:val="24"/>
                      </w:rPr>
                    </w:pPr>
                    <w:r>
                      <w:rPr>
                        <w:szCs w:val="24"/>
                      </w:rPr>
                      <w:t>PR_</w:t>
                    </w:r>
                    <w:r w:rsidR="002E2453">
                      <w:rPr>
                        <w:szCs w:val="24"/>
                      </w:rPr>
                      <w:t>2</w:t>
                    </w:r>
                    <w:r w:rsidR="00E0702D">
                      <w:rPr>
                        <w:szCs w:val="24"/>
                      </w:rPr>
                      <w:t>5</w:t>
                    </w:r>
                    <w:r>
                      <w:rPr>
                        <w:szCs w:val="24"/>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1488" w14:textId="77777777" w:rsidR="0038034A" w:rsidRDefault="0038034A">
      <w:r>
        <w:separator/>
      </w:r>
    </w:p>
  </w:footnote>
  <w:footnote w:type="continuationSeparator" w:id="0">
    <w:p w14:paraId="197688BD" w14:textId="77777777" w:rsidR="0038034A" w:rsidRDefault="0038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A"/>
    <w:rsid w:val="00001037"/>
    <w:rsid w:val="0001272F"/>
    <w:rsid w:val="00017980"/>
    <w:rsid w:val="0002101A"/>
    <w:rsid w:val="00023A41"/>
    <w:rsid w:val="00025DEB"/>
    <w:rsid w:val="00031DBA"/>
    <w:rsid w:val="00032952"/>
    <w:rsid w:val="00032B24"/>
    <w:rsid w:val="0003312D"/>
    <w:rsid w:val="000359DF"/>
    <w:rsid w:val="00040D14"/>
    <w:rsid w:val="0004189F"/>
    <w:rsid w:val="000467B7"/>
    <w:rsid w:val="0005470F"/>
    <w:rsid w:val="00054FEC"/>
    <w:rsid w:val="00062779"/>
    <w:rsid w:val="00062BEB"/>
    <w:rsid w:val="00062FB4"/>
    <w:rsid w:val="000639B8"/>
    <w:rsid w:val="00063A0B"/>
    <w:rsid w:val="000715E1"/>
    <w:rsid w:val="00072478"/>
    <w:rsid w:val="000776D3"/>
    <w:rsid w:val="000818C3"/>
    <w:rsid w:val="00082B18"/>
    <w:rsid w:val="0008543C"/>
    <w:rsid w:val="00087A15"/>
    <w:rsid w:val="0009469D"/>
    <w:rsid w:val="000A0796"/>
    <w:rsid w:val="000A65A8"/>
    <w:rsid w:val="000A6FF7"/>
    <w:rsid w:val="000B2BD7"/>
    <w:rsid w:val="000B6BE0"/>
    <w:rsid w:val="000B76D8"/>
    <w:rsid w:val="000C0E6B"/>
    <w:rsid w:val="000C1010"/>
    <w:rsid w:val="000C1B90"/>
    <w:rsid w:val="000D0458"/>
    <w:rsid w:val="000D518E"/>
    <w:rsid w:val="000D5FDE"/>
    <w:rsid w:val="000D63CD"/>
    <w:rsid w:val="000E13ED"/>
    <w:rsid w:val="000E2A52"/>
    <w:rsid w:val="000E4B9F"/>
    <w:rsid w:val="000E51E9"/>
    <w:rsid w:val="000E68F7"/>
    <w:rsid w:val="000E7699"/>
    <w:rsid w:val="000F05ED"/>
    <w:rsid w:val="000F6C8E"/>
    <w:rsid w:val="00101174"/>
    <w:rsid w:val="00104861"/>
    <w:rsid w:val="00105DE5"/>
    <w:rsid w:val="00106CF3"/>
    <w:rsid w:val="00107533"/>
    <w:rsid w:val="00111274"/>
    <w:rsid w:val="00111302"/>
    <w:rsid w:val="00111E76"/>
    <w:rsid w:val="00112205"/>
    <w:rsid w:val="00114804"/>
    <w:rsid w:val="0012051E"/>
    <w:rsid w:val="00120B9E"/>
    <w:rsid w:val="001213F4"/>
    <w:rsid w:val="00130272"/>
    <w:rsid w:val="00131A0F"/>
    <w:rsid w:val="00137F95"/>
    <w:rsid w:val="00156F9B"/>
    <w:rsid w:val="00157475"/>
    <w:rsid w:val="00164110"/>
    <w:rsid w:val="00164E97"/>
    <w:rsid w:val="0016768D"/>
    <w:rsid w:val="00170B29"/>
    <w:rsid w:val="00170E92"/>
    <w:rsid w:val="001714AB"/>
    <w:rsid w:val="00171AB2"/>
    <w:rsid w:val="00171CBE"/>
    <w:rsid w:val="001742A3"/>
    <w:rsid w:val="00174F83"/>
    <w:rsid w:val="0017673D"/>
    <w:rsid w:val="00183F48"/>
    <w:rsid w:val="00190A52"/>
    <w:rsid w:val="00191CE9"/>
    <w:rsid w:val="00193873"/>
    <w:rsid w:val="001A02E4"/>
    <w:rsid w:val="001A1F21"/>
    <w:rsid w:val="001A3CEF"/>
    <w:rsid w:val="001A5862"/>
    <w:rsid w:val="001A6CB5"/>
    <w:rsid w:val="001B0D02"/>
    <w:rsid w:val="001B192B"/>
    <w:rsid w:val="001B1A0A"/>
    <w:rsid w:val="001B25CA"/>
    <w:rsid w:val="001B2EBF"/>
    <w:rsid w:val="001C7571"/>
    <w:rsid w:val="001D0C17"/>
    <w:rsid w:val="001D53C9"/>
    <w:rsid w:val="001D6019"/>
    <w:rsid w:val="001E2141"/>
    <w:rsid w:val="001E28D1"/>
    <w:rsid w:val="001E2D44"/>
    <w:rsid w:val="001E4F13"/>
    <w:rsid w:val="001E5E37"/>
    <w:rsid w:val="001F0AE4"/>
    <w:rsid w:val="001F1C08"/>
    <w:rsid w:val="001F35B4"/>
    <w:rsid w:val="001F6ECE"/>
    <w:rsid w:val="00211508"/>
    <w:rsid w:val="00212E80"/>
    <w:rsid w:val="002163E3"/>
    <w:rsid w:val="002165B5"/>
    <w:rsid w:val="00216CD3"/>
    <w:rsid w:val="00220F55"/>
    <w:rsid w:val="002232A3"/>
    <w:rsid w:val="00223D2F"/>
    <w:rsid w:val="00230E30"/>
    <w:rsid w:val="0023219C"/>
    <w:rsid w:val="002321FF"/>
    <w:rsid w:val="002324F7"/>
    <w:rsid w:val="00233CAF"/>
    <w:rsid w:val="00235415"/>
    <w:rsid w:val="00235C1C"/>
    <w:rsid w:val="00241309"/>
    <w:rsid w:val="002414A7"/>
    <w:rsid w:val="00245CE3"/>
    <w:rsid w:val="00250D1B"/>
    <w:rsid w:val="00251A2D"/>
    <w:rsid w:val="00254ADF"/>
    <w:rsid w:val="00255086"/>
    <w:rsid w:val="00256132"/>
    <w:rsid w:val="00260C5B"/>
    <w:rsid w:val="00264493"/>
    <w:rsid w:val="00267A24"/>
    <w:rsid w:val="00271A9C"/>
    <w:rsid w:val="00276AC3"/>
    <w:rsid w:val="0028282A"/>
    <w:rsid w:val="002858EB"/>
    <w:rsid w:val="002877DE"/>
    <w:rsid w:val="00290A3C"/>
    <w:rsid w:val="00293AFF"/>
    <w:rsid w:val="00293E40"/>
    <w:rsid w:val="00295F1F"/>
    <w:rsid w:val="00297D0C"/>
    <w:rsid w:val="002A10C8"/>
    <w:rsid w:val="002A1131"/>
    <w:rsid w:val="002A51EB"/>
    <w:rsid w:val="002A52E2"/>
    <w:rsid w:val="002A58B0"/>
    <w:rsid w:val="002A596E"/>
    <w:rsid w:val="002A5C00"/>
    <w:rsid w:val="002A60F2"/>
    <w:rsid w:val="002A72E3"/>
    <w:rsid w:val="002B2038"/>
    <w:rsid w:val="002B5C0C"/>
    <w:rsid w:val="002B79CA"/>
    <w:rsid w:val="002B7A19"/>
    <w:rsid w:val="002C0273"/>
    <w:rsid w:val="002C6009"/>
    <w:rsid w:val="002D00A3"/>
    <w:rsid w:val="002D1426"/>
    <w:rsid w:val="002D3C72"/>
    <w:rsid w:val="002E0C59"/>
    <w:rsid w:val="002E2453"/>
    <w:rsid w:val="002E2923"/>
    <w:rsid w:val="002E3FA1"/>
    <w:rsid w:val="002F44B9"/>
    <w:rsid w:val="002F613C"/>
    <w:rsid w:val="002F62D0"/>
    <w:rsid w:val="00300037"/>
    <w:rsid w:val="00300109"/>
    <w:rsid w:val="0030146B"/>
    <w:rsid w:val="00304334"/>
    <w:rsid w:val="003153CC"/>
    <w:rsid w:val="00317AE9"/>
    <w:rsid w:val="00320C8B"/>
    <w:rsid w:val="00321681"/>
    <w:rsid w:val="00323564"/>
    <w:rsid w:val="003329CB"/>
    <w:rsid w:val="00335B79"/>
    <w:rsid w:val="003462B7"/>
    <w:rsid w:val="003479C4"/>
    <w:rsid w:val="00350EF3"/>
    <w:rsid w:val="00351A2F"/>
    <w:rsid w:val="00352578"/>
    <w:rsid w:val="00352796"/>
    <w:rsid w:val="00354062"/>
    <w:rsid w:val="00362C4E"/>
    <w:rsid w:val="0036310B"/>
    <w:rsid w:val="00365697"/>
    <w:rsid w:val="0036638B"/>
    <w:rsid w:val="003667B2"/>
    <w:rsid w:val="003673A8"/>
    <w:rsid w:val="00370E1D"/>
    <w:rsid w:val="00372DD9"/>
    <w:rsid w:val="0038034A"/>
    <w:rsid w:val="00380740"/>
    <w:rsid w:val="003830A3"/>
    <w:rsid w:val="00383F94"/>
    <w:rsid w:val="00384C5C"/>
    <w:rsid w:val="00385B7D"/>
    <w:rsid w:val="00386000"/>
    <w:rsid w:val="0038708B"/>
    <w:rsid w:val="00387167"/>
    <w:rsid w:val="0039439A"/>
    <w:rsid w:val="00395850"/>
    <w:rsid w:val="00395D78"/>
    <w:rsid w:val="00396774"/>
    <w:rsid w:val="003A051B"/>
    <w:rsid w:val="003A0FB5"/>
    <w:rsid w:val="003A6F41"/>
    <w:rsid w:val="003A75F3"/>
    <w:rsid w:val="003B0830"/>
    <w:rsid w:val="003B7C80"/>
    <w:rsid w:val="003C46CB"/>
    <w:rsid w:val="003C62F9"/>
    <w:rsid w:val="003D0709"/>
    <w:rsid w:val="003D15FE"/>
    <w:rsid w:val="003D1CCC"/>
    <w:rsid w:val="003D2967"/>
    <w:rsid w:val="003D29CB"/>
    <w:rsid w:val="003D2C40"/>
    <w:rsid w:val="003D2E5F"/>
    <w:rsid w:val="003D3985"/>
    <w:rsid w:val="003D640E"/>
    <w:rsid w:val="003D7202"/>
    <w:rsid w:val="003E4752"/>
    <w:rsid w:val="003E5F3D"/>
    <w:rsid w:val="003F1F52"/>
    <w:rsid w:val="003F3D2B"/>
    <w:rsid w:val="003F5E38"/>
    <w:rsid w:val="003F6B05"/>
    <w:rsid w:val="00400BE4"/>
    <w:rsid w:val="004038F3"/>
    <w:rsid w:val="0040763A"/>
    <w:rsid w:val="00413CD7"/>
    <w:rsid w:val="00413E87"/>
    <w:rsid w:val="00416CA5"/>
    <w:rsid w:val="00423DF6"/>
    <w:rsid w:val="0042427D"/>
    <w:rsid w:val="0042799B"/>
    <w:rsid w:val="004311EA"/>
    <w:rsid w:val="004328DA"/>
    <w:rsid w:val="00437874"/>
    <w:rsid w:val="004378C2"/>
    <w:rsid w:val="004417E0"/>
    <w:rsid w:val="004418D4"/>
    <w:rsid w:val="00447B08"/>
    <w:rsid w:val="00452EC2"/>
    <w:rsid w:val="00452FA2"/>
    <w:rsid w:val="0045704E"/>
    <w:rsid w:val="0045714E"/>
    <w:rsid w:val="00460E78"/>
    <w:rsid w:val="0046240B"/>
    <w:rsid w:val="0046311E"/>
    <w:rsid w:val="00467225"/>
    <w:rsid w:val="00467AEC"/>
    <w:rsid w:val="00470F00"/>
    <w:rsid w:val="00471599"/>
    <w:rsid w:val="00471C92"/>
    <w:rsid w:val="00472332"/>
    <w:rsid w:val="00472903"/>
    <w:rsid w:val="00476B93"/>
    <w:rsid w:val="00483C3C"/>
    <w:rsid w:val="00483DF7"/>
    <w:rsid w:val="00491112"/>
    <w:rsid w:val="00492F27"/>
    <w:rsid w:val="00495893"/>
    <w:rsid w:val="00495964"/>
    <w:rsid w:val="004A276D"/>
    <w:rsid w:val="004B2693"/>
    <w:rsid w:val="004B405E"/>
    <w:rsid w:val="004B5EB8"/>
    <w:rsid w:val="004B7702"/>
    <w:rsid w:val="004C17CE"/>
    <w:rsid w:val="004C1A9D"/>
    <w:rsid w:val="004D1B6C"/>
    <w:rsid w:val="004D4A8A"/>
    <w:rsid w:val="004E0AFC"/>
    <w:rsid w:val="004E12DB"/>
    <w:rsid w:val="004E1BD1"/>
    <w:rsid w:val="004E36E1"/>
    <w:rsid w:val="004E5E78"/>
    <w:rsid w:val="004F0BC2"/>
    <w:rsid w:val="004F1EB8"/>
    <w:rsid w:val="005004CF"/>
    <w:rsid w:val="00500648"/>
    <w:rsid w:val="0050782E"/>
    <w:rsid w:val="00511691"/>
    <w:rsid w:val="00511B2F"/>
    <w:rsid w:val="0051296A"/>
    <w:rsid w:val="00515071"/>
    <w:rsid w:val="0051688D"/>
    <w:rsid w:val="00516E9C"/>
    <w:rsid w:val="00516FEF"/>
    <w:rsid w:val="005175F4"/>
    <w:rsid w:val="00522010"/>
    <w:rsid w:val="005228E6"/>
    <w:rsid w:val="00522A94"/>
    <w:rsid w:val="00526DA5"/>
    <w:rsid w:val="00532C78"/>
    <w:rsid w:val="00533434"/>
    <w:rsid w:val="00535EA3"/>
    <w:rsid w:val="005376A2"/>
    <w:rsid w:val="00537C78"/>
    <w:rsid w:val="005464FB"/>
    <w:rsid w:val="00551326"/>
    <w:rsid w:val="0055156A"/>
    <w:rsid w:val="005528A6"/>
    <w:rsid w:val="0056443D"/>
    <w:rsid w:val="005650C0"/>
    <w:rsid w:val="00572674"/>
    <w:rsid w:val="00577BF9"/>
    <w:rsid w:val="00580AE0"/>
    <w:rsid w:val="00580F7A"/>
    <w:rsid w:val="0059132B"/>
    <w:rsid w:val="00593EA9"/>
    <w:rsid w:val="00595ECF"/>
    <w:rsid w:val="005963A6"/>
    <w:rsid w:val="00596EA9"/>
    <w:rsid w:val="005A1036"/>
    <w:rsid w:val="005A1C5F"/>
    <w:rsid w:val="005A1C74"/>
    <w:rsid w:val="005A2114"/>
    <w:rsid w:val="005A2DB5"/>
    <w:rsid w:val="005A4A43"/>
    <w:rsid w:val="005A58BC"/>
    <w:rsid w:val="005A6B3D"/>
    <w:rsid w:val="005B2131"/>
    <w:rsid w:val="005B253D"/>
    <w:rsid w:val="005B2C77"/>
    <w:rsid w:val="005B4FF8"/>
    <w:rsid w:val="005B63B1"/>
    <w:rsid w:val="005C1733"/>
    <w:rsid w:val="005C44BA"/>
    <w:rsid w:val="005C4BD6"/>
    <w:rsid w:val="005C7D80"/>
    <w:rsid w:val="005C7FBA"/>
    <w:rsid w:val="005D2AFE"/>
    <w:rsid w:val="005D47F3"/>
    <w:rsid w:val="005D4C80"/>
    <w:rsid w:val="005E00DB"/>
    <w:rsid w:val="005E01B5"/>
    <w:rsid w:val="005E3852"/>
    <w:rsid w:val="005F115D"/>
    <w:rsid w:val="005F42D8"/>
    <w:rsid w:val="005F4395"/>
    <w:rsid w:val="005F53FF"/>
    <w:rsid w:val="00603994"/>
    <w:rsid w:val="00604A95"/>
    <w:rsid w:val="00607FE3"/>
    <w:rsid w:val="0061031B"/>
    <w:rsid w:val="00616BE2"/>
    <w:rsid w:val="006244F9"/>
    <w:rsid w:val="00630E87"/>
    <w:rsid w:val="006336F6"/>
    <w:rsid w:val="00634EF9"/>
    <w:rsid w:val="00636A7B"/>
    <w:rsid w:val="00643625"/>
    <w:rsid w:val="00643928"/>
    <w:rsid w:val="00644BB8"/>
    <w:rsid w:val="00645DC4"/>
    <w:rsid w:val="00645FBE"/>
    <w:rsid w:val="00650D5C"/>
    <w:rsid w:val="006515C4"/>
    <w:rsid w:val="00655138"/>
    <w:rsid w:val="006565ED"/>
    <w:rsid w:val="00657382"/>
    <w:rsid w:val="006626BE"/>
    <w:rsid w:val="006626C3"/>
    <w:rsid w:val="006651A8"/>
    <w:rsid w:val="00665A27"/>
    <w:rsid w:val="00672C82"/>
    <w:rsid w:val="00680D5C"/>
    <w:rsid w:val="0069444B"/>
    <w:rsid w:val="00694579"/>
    <w:rsid w:val="00696528"/>
    <w:rsid w:val="006A064D"/>
    <w:rsid w:val="006A0B7F"/>
    <w:rsid w:val="006A20AE"/>
    <w:rsid w:val="006B0C48"/>
    <w:rsid w:val="006B3043"/>
    <w:rsid w:val="006B4747"/>
    <w:rsid w:val="006C2E83"/>
    <w:rsid w:val="006C308E"/>
    <w:rsid w:val="006D16D8"/>
    <w:rsid w:val="006D49DA"/>
    <w:rsid w:val="006D5B5A"/>
    <w:rsid w:val="006D5E28"/>
    <w:rsid w:val="006D6475"/>
    <w:rsid w:val="006E0EF6"/>
    <w:rsid w:val="006E3384"/>
    <w:rsid w:val="006E72B7"/>
    <w:rsid w:val="006F013D"/>
    <w:rsid w:val="006F175E"/>
    <w:rsid w:val="006F326A"/>
    <w:rsid w:val="006F40C5"/>
    <w:rsid w:val="00702CC5"/>
    <w:rsid w:val="007065DB"/>
    <w:rsid w:val="00715F3F"/>
    <w:rsid w:val="007178AD"/>
    <w:rsid w:val="00723245"/>
    <w:rsid w:val="0073193C"/>
    <w:rsid w:val="0073459F"/>
    <w:rsid w:val="00735423"/>
    <w:rsid w:val="007354E9"/>
    <w:rsid w:val="00744E11"/>
    <w:rsid w:val="00744E66"/>
    <w:rsid w:val="00750ECF"/>
    <w:rsid w:val="007515FE"/>
    <w:rsid w:val="007553D1"/>
    <w:rsid w:val="00764D1C"/>
    <w:rsid w:val="00766334"/>
    <w:rsid w:val="00770A59"/>
    <w:rsid w:val="00776CEC"/>
    <w:rsid w:val="007773F7"/>
    <w:rsid w:val="00781457"/>
    <w:rsid w:val="007823F9"/>
    <w:rsid w:val="00783610"/>
    <w:rsid w:val="00783C0F"/>
    <w:rsid w:val="007937FA"/>
    <w:rsid w:val="007965BC"/>
    <w:rsid w:val="007A3307"/>
    <w:rsid w:val="007A3CCD"/>
    <w:rsid w:val="007A6D09"/>
    <w:rsid w:val="007B2654"/>
    <w:rsid w:val="007B448C"/>
    <w:rsid w:val="007B5F7A"/>
    <w:rsid w:val="007B616E"/>
    <w:rsid w:val="007C0DDD"/>
    <w:rsid w:val="007C2D93"/>
    <w:rsid w:val="007C673E"/>
    <w:rsid w:val="007C7989"/>
    <w:rsid w:val="007D182E"/>
    <w:rsid w:val="007D3A58"/>
    <w:rsid w:val="007E4BAC"/>
    <w:rsid w:val="007E5EC8"/>
    <w:rsid w:val="007E6324"/>
    <w:rsid w:val="007F02B4"/>
    <w:rsid w:val="007F0B0D"/>
    <w:rsid w:val="007F40D4"/>
    <w:rsid w:val="007F7A8D"/>
    <w:rsid w:val="00800D3C"/>
    <w:rsid w:val="008030C1"/>
    <w:rsid w:val="00804788"/>
    <w:rsid w:val="00806502"/>
    <w:rsid w:val="00807F48"/>
    <w:rsid w:val="0081127F"/>
    <w:rsid w:val="008135B5"/>
    <w:rsid w:val="00815290"/>
    <w:rsid w:val="008164D9"/>
    <w:rsid w:val="00816DFB"/>
    <w:rsid w:val="00823AA3"/>
    <w:rsid w:val="0082635E"/>
    <w:rsid w:val="00832482"/>
    <w:rsid w:val="00835338"/>
    <w:rsid w:val="0083600D"/>
    <w:rsid w:val="0084031D"/>
    <w:rsid w:val="00840C56"/>
    <w:rsid w:val="00840F81"/>
    <w:rsid w:val="008413E2"/>
    <w:rsid w:val="008425AD"/>
    <w:rsid w:val="00846EAF"/>
    <w:rsid w:val="008562C5"/>
    <w:rsid w:val="008611FB"/>
    <w:rsid w:val="008648A8"/>
    <w:rsid w:val="00867A17"/>
    <w:rsid w:val="0087084B"/>
    <w:rsid w:val="00870D47"/>
    <w:rsid w:val="00876420"/>
    <w:rsid w:val="00877053"/>
    <w:rsid w:val="00882065"/>
    <w:rsid w:val="00884D1B"/>
    <w:rsid w:val="00895A81"/>
    <w:rsid w:val="008A0782"/>
    <w:rsid w:val="008A0BFF"/>
    <w:rsid w:val="008A34B0"/>
    <w:rsid w:val="008A47B4"/>
    <w:rsid w:val="008B59F8"/>
    <w:rsid w:val="008C1E56"/>
    <w:rsid w:val="008C1E9B"/>
    <w:rsid w:val="008C239E"/>
    <w:rsid w:val="008C2E63"/>
    <w:rsid w:val="008C6D7A"/>
    <w:rsid w:val="008D30D1"/>
    <w:rsid w:val="008D4F13"/>
    <w:rsid w:val="008E0573"/>
    <w:rsid w:val="008E32AC"/>
    <w:rsid w:val="008E703E"/>
    <w:rsid w:val="008F5D6E"/>
    <w:rsid w:val="009028B7"/>
    <w:rsid w:val="0090634A"/>
    <w:rsid w:val="00912403"/>
    <w:rsid w:val="00913466"/>
    <w:rsid w:val="00915A3F"/>
    <w:rsid w:val="009205C0"/>
    <w:rsid w:val="009267B5"/>
    <w:rsid w:val="00926BED"/>
    <w:rsid w:val="00927CD9"/>
    <w:rsid w:val="00931031"/>
    <w:rsid w:val="00931946"/>
    <w:rsid w:val="00933683"/>
    <w:rsid w:val="00945266"/>
    <w:rsid w:val="00946757"/>
    <w:rsid w:val="009513E5"/>
    <w:rsid w:val="00951764"/>
    <w:rsid w:val="009539E2"/>
    <w:rsid w:val="00954023"/>
    <w:rsid w:val="009549E5"/>
    <w:rsid w:val="009563E6"/>
    <w:rsid w:val="00970E37"/>
    <w:rsid w:val="00975001"/>
    <w:rsid w:val="009756B8"/>
    <w:rsid w:val="009805FC"/>
    <w:rsid w:val="0098593B"/>
    <w:rsid w:val="00985EED"/>
    <w:rsid w:val="0099033B"/>
    <w:rsid w:val="009929E0"/>
    <w:rsid w:val="00993BC9"/>
    <w:rsid w:val="0099407F"/>
    <w:rsid w:val="009A2EE4"/>
    <w:rsid w:val="009A5E91"/>
    <w:rsid w:val="009A6A58"/>
    <w:rsid w:val="009A7D27"/>
    <w:rsid w:val="009B5535"/>
    <w:rsid w:val="009C0C7F"/>
    <w:rsid w:val="009C1984"/>
    <w:rsid w:val="009C55F6"/>
    <w:rsid w:val="009C6D4C"/>
    <w:rsid w:val="009D15C5"/>
    <w:rsid w:val="009D22CD"/>
    <w:rsid w:val="009D282F"/>
    <w:rsid w:val="009D3A38"/>
    <w:rsid w:val="009D4ABD"/>
    <w:rsid w:val="009D4DDC"/>
    <w:rsid w:val="009D5B5F"/>
    <w:rsid w:val="009E406C"/>
    <w:rsid w:val="009E60D5"/>
    <w:rsid w:val="009F05EE"/>
    <w:rsid w:val="009F3D1E"/>
    <w:rsid w:val="00A033DF"/>
    <w:rsid w:val="00A05B93"/>
    <w:rsid w:val="00A068C6"/>
    <w:rsid w:val="00A11201"/>
    <w:rsid w:val="00A16EC1"/>
    <w:rsid w:val="00A206AE"/>
    <w:rsid w:val="00A208D4"/>
    <w:rsid w:val="00A277E5"/>
    <w:rsid w:val="00A27B50"/>
    <w:rsid w:val="00A327D5"/>
    <w:rsid w:val="00A333B9"/>
    <w:rsid w:val="00A35324"/>
    <w:rsid w:val="00A35A5A"/>
    <w:rsid w:val="00A35F9A"/>
    <w:rsid w:val="00A40563"/>
    <w:rsid w:val="00A42362"/>
    <w:rsid w:val="00A43529"/>
    <w:rsid w:val="00A47AF8"/>
    <w:rsid w:val="00A5006A"/>
    <w:rsid w:val="00A50131"/>
    <w:rsid w:val="00A50DA5"/>
    <w:rsid w:val="00A516FC"/>
    <w:rsid w:val="00A5430E"/>
    <w:rsid w:val="00A573DD"/>
    <w:rsid w:val="00A64576"/>
    <w:rsid w:val="00A66270"/>
    <w:rsid w:val="00A727FC"/>
    <w:rsid w:val="00A76CBC"/>
    <w:rsid w:val="00A77903"/>
    <w:rsid w:val="00A83182"/>
    <w:rsid w:val="00A901BB"/>
    <w:rsid w:val="00A935E0"/>
    <w:rsid w:val="00A97EC1"/>
    <w:rsid w:val="00AA2356"/>
    <w:rsid w:val="00AA580E"/>
    <w:rsid w:val="00AA66DD"/>
    <w:rsid w:val="00AA71D3"/>
    <w:rsid w:val="00AA7585"/>
    <w:rsid w:val="00AB1B05"/>
    <w:rsid w:val="00AB7931"/>
    <w:rsid w:val="00AC4A94"/>
    <w:rsid w:val="00AC5CAC"/>
    <w:rsid w:val="00AC754D"/>
    <w:rsid w:val="00AD0447"/>
    <w:rsid w:val="00AD25CA"/>
    <w:rsid w:val="00AD2A9D"/>
    <w:rsid w:val="00AD4440"/>
    <w:rsid w:val="00AE64E5"/>
    <w:rsid w:val="00AF56EA"/>
    <w:rsid w:val="00B00144"/>
    <w:rsid w:val="00B008CE"/>
    <w:rsid w:val="00B0145F"/>
    <w:rsid w:val="00B018AE"/>
    <w:rsid w:val="00B052D9"/>
    <w:rsid w:val="00B12FE4"/>
    <w:rsid w:val="00B1373F"/>
    <w:rsid w:val="00B14EF1"/>
    <w:rsid w:val="00B15862"/>
    <w:rsid w:val="00B272B9"/>
    <w:rsid w:val="00B31148"/>
    <w:rsid w:val="00B363C6"/>
    <w:rsid w:val="00B42248"/>
    <w:rsid w:val="00B46B48"/>
    <w:rsid w:val="00B4725F"/>
    <w:rsid w:val="00B4745E"/>
    <w:rsid w:val="00B506A8"/>
    <w:rsid w:val="00B520DE"/>
    <w:rsid w:val="00B56ACF"/>
    <w:rsid w:val="00B579D0"/>
    <w:rsid w:val="00B61B67"/>
    <w:rsid w:val="00B639CA"/>
    <w:rsid w:val="00B63E31"/>
    <w:rsid w:val="00B66277"/>
    <w:rsid w:val="00B6659F"/>
    <w:rsid w:val="00B70F82"/>
    <w:rsid w:val="00B711E5"/>
    <w:rsid w:val="00B72C01"/>
    <w:rsid w:val="00B811B7"/>
    <w:rsid w:val="00B81B1C"/>
    <w:rsid w:val="00B86FF8"/>
    <w:rsid w:val="00B95875"/>
    <w:rsid w:val="00B97922"/>
    <w:rsid w:val="00BA2DF7"/>
    <w:rsid w:val="00BA3835"/>
    <w:rsid w:val="00BA6896"/>
    <w:rsid w:val="00BB44EF"/>
    <w:rsid w:val="00BC253B"/>
    <w:rsid w:val="00BC3FE5"/>
    <w:rsid w:val="00BC6D40"/>
    <w:rsid w:val="00BD0706"/>
    <w:rsid w:val="00BD2FCB"/>
    <w:rsid w:val="00BD3644"/>
    <w:rsid w:val="00BD5920"/>
    <w:rsid w:val="00BD5C12"/>
    <w:rsid w:val="00BD75B2"/>
    <w:rsid w:val="00BE0183"/>
    <w:rsid w:val="00BE1FD7"/>
    <w:rsid w:val="00BE2672"/>
    <w:rsid w:val="00BE60C1"/>
    <w:rsid w:val="00BF0D59"/>
    <w:rsid w:val="00BF2E47"/>
    <w:rsid w:val="00BF4809"/>
    <w:rsid w:val="00BF5F60"/>
    <w:rsid w:val="00BF65DD"/>
    <w:rsid w:val="00C070A1"/>
    <w:rsid w:val="00C07313"/>
    <w:rsid w:val="00C078EA"/>
    <w:rsid w:val="00C1021F"/>
    <w:rsid w:val="00C1345C"/>
    <w:rsid w:val="00C15FBA"/>
    <w:rsid w:val="00C17614"/>
    <w:rsid w:val="00C25208"/>
    <w:rsid w:val="00C362A3"/>
    <w:rsid w:val="00C36C1D"/>
    <w:rsid w:val="00C36F7D"/>
    <w:rsid w:val="00C44794"/>
    <w:rsid w:val="00C458F4"/>
    <w:rsid w:val="00C45AE5"/>
    <w:rsid w:val="00C52289"/>
    <w:rsid w:val="00C57D0F"/>
    <w:rsid w:val="00C60274"/>
    <w:rsid w:val="00C62293"/>
    <w:rsid w:val="00C65F72"/>
    <w:rsid w:val="00C660C3"/>
    <w:rsid w:val="00C661EB"/>
    <w:rsid w:val="00C72E32"/>
    <w:rsid w:val="00C7643F"/>
    <w:rsid w:val="00C83CF9"/>
    <w:rsid w:val="00C850CF"/>
    <w:rsid w:val="00C94704"/>
    <w:rsid w:val="00C9492F"/>
    <w:rsid w:val="00C94BF6"/>
    <w:rsid w:val="00C96B51"/>
    <w:rsid w:val="00C96D14"/>
    <w:rsid w:val="00C97553"/>
    <w:rsid w:val="00CA159A"/>
    <w:rsid w:val="00CA297A"/>
    <w:rsid w:val="00CB057D"/>
    <w:rsid w:val="00CB43A3"/>
    <w:rsid w:val="00CC0788"/>
    <w:rsid w:val="00CC0B5E"/>
    <w:rsid w:val="00CC1896"/>
    <w:rsid w:val="00CC5F4D"/>
    <w:rsid w:val="00CC6352"/>
    <w:rsid w:val="00CC7700"/>
    <w:rsid w:val="00CC7A37"/>
    <w:rsid w:val="00CC7D35"/>
    <w:rsid w:val="00CD09B2"/>
    <w:rsid w:val="00CD1468"/>
    <w:rsid w:val="00CD17AD"/>
    <w:rsid w:val="00CD2492"/>
    <w:rsid w:val="00CD2A2B"/>
    <w:rsid w:val="00CD2A48"/>
    <w:rsid w:val="00CD5BFC"/>
    <w:rsid w:val="00CE150C"/>
    <w:rsid w:val="00CE48CC"/>
    <w:rsid w:val="00CE6D26"/>
    <w:rsid w:val="00CE7CBC"/>
    <w:rsid w:val="00CF09D8"/>
    <w:rsid w:val="00CF6AA1"/>
    <w:rsid w:val="00CF6AAA"/>
    <w:rsid w:val="00CF6C23"/>
    <w:rsid w:val="00D03732"/>
    <w:rsid w:val="00D041F4"/>
    <w:rsid w:val="00D07B1C"/>
    <w:rsid w:val="00D12566"/>
    <w:rsid w:val="00D164D1"/>
    <w:rsid w:val="00D21267"/>
    <w:rsid w:val="00D21AEF"/>
    <w:rsid w:val="00D21ED1"/>
    <w:rsid w:val="00D22E43"/>
    <w:rsid w:val="00D2407B"/>
    <w:rsid w:val="00D35DB0"/>
    <w:rsid w:val="00D363A6"/>
    <w:rsid w:val="00D40533"/>
    <w:rsid w:val="00D42B00"/>
    <w:rsid w:val="00D435E0"/>
    <w:rsid w:val="00D4452C"/>
    <w:rsid w:val="00D44860"/>
    <w:rsid w:val="00D46D49"/>
    <w:rsid w:val="00D46D75"/>
    <w:rsid w:val="00D51832"/>
    <w:rsid w:val="00D52924"/>
    <w:rsid w:val="00D52F87"/>
    <w:rsid w:val="00D54697"/>
    <w:rsid w:val="00D559EC"/>
    <w:rsid w:val="00D55F44"/>
    <w:rsid w:val="00D56773"/>
    <w:rsid w:val="00D63350"/>
    <w:rsid w:val="00D64477"/>
    <w:rsid w:val="00D706BE"/>
    <w:rsid w:val="00D71016"/>
    <w:rsid w:val="00D75169"/>
    <w:rsid w:val="00D771FE"/>
    <w:rsid w:val="00D77C2B"/>
    <w:rsid w:val="00D81F5D"/>
    <w:rsid w:val="00D83E1F"/>
    <w:rsid w:val="00D84B6D"/>
    <w:rsid w:val="00D9113C"/>
    <w:rsid w:val="00D929E7"/>
    <w:rsid w:val="00DA47F8"/>
    <w:rsid w:val="00DA4943"/>
    <w:rsid w:val="00DA7FCC"/>
    <w:rsid w:val="00DB223D"/>
    <w:rsid w:val="00DB3483"/>
    <w:rsid w:val="00DC2416"/>
    <w:rsid w:val="00DC3973"/>
    <w:rsid w:val="00DC4A7D"/>
    <w:rsid w:val="00DD2D03"/>
    <w:rsid w:val="00DE344A"/>
    <w:rsid w:val="00DE46D6"/>
    <w:rsid w:val="00DF1A05"/>
    <w:rsid w:val="00DF3A9E"/>
    <w:rsid w:val="00DF56F0"/>
    <w:rsid w:val="00DF6A20"/>
    <w:rsid w:val="00DF7631"/>
    <w:rsid w:val="00E0134E"/>
    <w:rsid w:val="00E05D73"/>
    <w:rsid w:val="00E0702D"/>
    <w:rsid w:val="00E118A6"/>
    <w:rsid w:val="00E2710D"/>
    <w:rsid w:val="00E311CB"/>
    <w:rsid w:val="00E339A5"/>
    <w:rsid w:val="00E36025"/>
    <w:rsid w:val="00E5129B"/>
    <w:rsid w:val="00E51362"/>
    <w:rsid w:val="00E535AB"/>
    <w:rsid w:val="00E53A3C"/>
    <w:rsid w:val="00E57AD8"/>
    <w:rsid w:val="00E60AD2"/>
    <w:rsid w:val="00E61BA0"/>
    <w:rsid w:val="00E6495F"/>
    <w:rsid w:val="00E64FF9"/>
    <w:rsid w:val="00E65629"/>
    <w:rsid w:val="00E65CD4"/>
    <w:rsid w:val="00E73C32"/>
    <w:rsid w:val="00E75B08"/>
    <w:rsid w:val="00E76146"/>
    <w:rsid w:val="00E769ED"/>
    <w:rsid w:val="00E825A2"/>
    <w:rsid w:val="00E845A7"/>
    <w:rsid w:val="00E8597E"/>
    <w:rsid w:val="00E85AD0"/>
    <w:rsid w:val="00E85EA2"/>
    <w:rsid w:val="00E943D0"/>
    <w:rsid w:val="00E94AB9"/>
    <w:rsid w:val="00EA3403"/>
    <w:rsid w:val="00EA5538"/>
    <w:rsid w:val="00EB740E"/>
    <w:rsid w:val="00EC11EF"/>
    <w:rsid w:val="00EC1260"/>
    <w:rsid w:val="00EC2226"/>
    <w:rsid w:val="00EC3CFF"/>
    <w:rsid w:val="00ED0564"/>
    <w:rsid w:val="00ED0729"/>
    <w:rsid w:val="00ED1203"/>
    <w:rsid w:val="00ED2FB4"/>
    <w:rsid w:val="00ED5AA1"/>
    <w:rsid w:val="00EE6973"/>
    <w:rsid w:val="00EE6DA0"/>
    <w:rsid w:val="00EE711D"/>
    <w:rsid w:val="00EF151E"/>
    <w:rsid w:val="00EF311F"/>
    <w:rsid w:val="00EF314D"/>
    <w:rsid w:val="00EF69A6"/>
    <w:rsid w:val="00EF7C5A"/>
    <w:rsid w:val="00F00946"/>
    <w:rsid w:val="00F03748"/>
    <w:rsid w:val="00F07E90"/>
    <w:rsid w:val="00F1377A"/>
    <w:rsid w:val="00F16A31"/>
    <w:rsid w:val="00F16CC3"/>
    <w:rsid w:val="00F17A1C"/>
    <w:rsid w:val="00F17E1A"/>
    <w:rsid w:val="00F22886"/>
    <w:rsid w:val="00F2657C"/>
    <w:rsid w:val="00F30F37"/>
    <w:rsid w:val="00F31705"/>
    <w:rsid w:val="00F31A5C"/>
    <w:rsid w:val="00F328C5"/>
    <w:rsid w:val="00F4283B"/>
    <w:rsid w:val="00F42EEA"/>
    <w:rsid w:val="00F4318A"/>
    <w:rsid w:val="00F4350D"/>
    <w:rsid w:val="00F452D3"/>
    <w:rsid w:val="00F50DB6"/>
    <w:rsid w:val="00F5185D"/>
    <w:rsid w:val="00F5351D"/>
    <w:rsid w:val="00F553AA"/>
    <w:rsid w:val="00F64973"/>
    <w:rsid w:val="00F70664"/>
    <w:rsid w:val="00F74A0C"/>
    <w:rsid w:val="00F80ACB"/>
    <w:rsid w:val="00F81030"/>
    <w:rsid w:val="00F813C4"/>
    <w:rsid w:val="00F81ECF"/>
    <w:rsid w:val="00F859FD"/>
    <w:rsid w:val="00F85E90"/>
    <w:rsid w:val="00F86070"/>
    <w:rsid w:val="00F87624"/>
    <w:rsid w:val="00F87A0C"/>
    <w:rsid w:val="00F96637"/>
    <w:rsid w:val="00F96EFD"/>
    <w:rsid w:val="00FA1373"/>
    <w:rsid w:val="00FA23ED"/>
    <w:rsid w:val="00FA2BDB"/>
    <w:rsid w:val="00FA4C94"/>
    <w:rsid w:val="00FB27C6"/>
    <w:rsid w:val="00FB3909"/>
    <w:rsid w:val="00FB437F"/>
    <w:rsid w:val="00FB53C3"/>
    <w:rsid w:val="00FC0575"/>
    <w:rsid w:val="00FC08CB"/>
    <w:rsid w:val="00FC1DFB"/>
    <w:rsid w:val="00FC4F0D"/>
    <w:rsid w:val="00FC608A"/>
    <w:rsid w:val="00FD10CF"/>
    <w:rsid w:val="00FD33AE"/>
    <w:rsid w:val="00FD4AD4"/>
    <w:rsid w:val="00FE2FBB"/>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oNotEmbedSmartTags/>
  <w:decimalSymbol w:val=","/>
  <w:listSeparator w:val=";"/>
  <w14:docId w14:val="0401FF09"/>
  <w15:docId w15:val="{3A119753-E23E-46BC-945C-7AE6EB80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9C0C7F"/>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 w:id="16346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64D0-78F9-4EF1-93AC-9F5CD907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L'exposition en ligne Hettich est ouverte : Préparer le terrain pour de nouveaux produits et services en ligne </vt:lpstr>
    </vt:vector>
  </TitlesOfParts>
  <Company>.</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 poignées ProDecor 2020 - Une nouvelle variété de designs possible pour tous les segments de meuble</dc:title>
  <dc:creator>Prototype</dc:creator>
  <cp:lastModifiedBy>Anke Wöhler</cp:lastModifiedBy>
  <cp:revision>39</cp:revision>
  <cp:lastPrinted>2020-03-31T10:04:00Z</cp:lastPrinted>
  <dcterms:created xsi:type="dcterms:W3CDTF">2019-11-12T16:42:00Z</dcterms:created>
  <dcterms:modified xsi:type="dcterms:W3CDTF">2020-06-16T12:34:00Z</dcterms:modified>
</cp:coreProperties>
</file>